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7FB93" w14:textId="18BA2051" w:rsidR="002A7181" w:rsidRDefault="00E33B68" w:rsidP="002A7181">
      <w:pPr>
        <w:pStyle w:val="CRCoverPage"/>
        <w:tabs>
          <w:tab w:val="right" w:pos="9639"/>
        </w:tabs>
        <w:spacing w:after="0"/>
        <w:rPr>
          <w:b/>
          <w:i/>
          <w:noProof/>
          <w:sz w:val="28"/>
        </w:rPr>
      </w:pPr>
      <w:bookmarkStart w:id="0" w:name="_GoBack"/>
      <w:bookmarkEnd w:id="0"/>
      <w:r>
        <w:rPr>
          <w:b/>
          <w:noProof/>
          <w:sz w:val="24"/>
        </w:rPr>
        <w:t>3GPP TSG-WG RAN4 Meeting #</w:t>
      </w:r>
      <w:r w:rsidR="00456213">
        <w:rPr>
          <w:b/>
          <w:noProof/>
          <w:sz w:val="24"/>
        </w:rPr>
        <w:t>84bis</w:t>
      </w:r>
      <w:r w:rsidR="002A7181">
        <w:rPr>
          <w:b/>
          <w:i/>
          <w:noProof/>
          <w:sz w:val="28"/>
        </w:rPr>
        <w:tab/>
      </w:r>
      <w:r w:rsidR="00A77D6D" w:rsidRPr="00A77D6D">
        <w:rPr>
          <w:b/>
          <w:i/>
          <w:noProof/>
          <w:sz w:val="28"/>
        </w:rPr>
        <w:t>R4-1710955</w:t>
      </w:r>
    </w:p>
    <w:p w14:paraId="4EEAF651" w14:textId="152C7619" w:rsidR="002A7181" w:rsidRDefault="001C7145" w:rsidP="002A7181">
      <w:pPr>
        <w:pStyle w:val="CRCoverPage"/>
        <w:outlineLvl w:val="0"/>
        <w:rPr>
          <w:b/>
          <w:noProof/>
          <w:sz w:val="24"/>
        </w:rPr>
      </w:pPr>
      <w:r>
        <w:rPr>
          <w:b/>
          <w:noProof/>
          <w:sz w:val="24"/>
        </w:rPr>
        <w:t>Dubrovnik</w:t>
      </w:r>
      <w:r w:rsidR="00E33B68">
        <w:rPr>
          <w:b/>
          <w:noProof/>
          <w:sz w:val="24"/>
        </w:rPr>
        <w:t xml:space="preserve">, </w:t>
      </w:r>
      <w:r>
        <w:rPr>
          <w:b/>
          <w:noProof/>
          <w:sz w:val="24"/>
        </w:rPr>
        <w:t>Croatia</w:t>
      </w:r>
      <w:r w:rsidR="00E33B68">
        <w:rPr>
          <w:b/>
          <w:noProof/>
          <w:sz w:val="24"/>
        </w:rPr>
        <w:t>, 8</w:t>
      </w:r>
      <w:r w:rsidR="00E33B68" w:rsidRPr="00E33B68">
        <w:rPr>
          <w:b/>
          <w:noProof/>
          <w:sz w:val="24"/>
          <w:vertAlign w:val="superscript"/>
        </w:rPr>
        <w:t>th</w:t>
      </w:r>
      <w:r>
        <w:rPr>
          <w:b/>
          <w:noProof/>
          <w:sz w:val="24"/>
        </w:rPr>
        <w:t xml:space="preserve"> </w:t>
      </w:r>
      <w:r w:rsidR="00E33B68">
        <w:rPr>
          <w:b/>
          <w:noProof/>
          <w:sz w:val="24"/>
        </w:rPr>
        <w:t xml:space="preserve">– </w:t>
      </w:r>
      <w:r>
        <w:rPr>
          <w:b/>
          <w:noProof/>
          <w:sz w:val="24"/>
        </w:rPr>
        <w:t>12</w:t>
      </w:r>
      <w:r>
        <w:rPr>
          <w:b/>
          <w:noProof/>
          <w:sz w:val="24"/>
          <w:vertAlign w:val="superscript"/>
        </w:rPr>
        <w:t>th</w:t>
      </w:r>
      <w:r w:rsidR="00E33B68">
        <w:rPr>
          <w:b/>
          <w:noProof/>
          <w:sz w:val="24"/>
        </w:rPr>
        <w:t xml:space="preserve"> </w:t>
      </w:r>
      <w:r>
        <w:rPr>
          <w:b/>
          <w:noProof/>
          <w:sz w:val="24"/>
        </w:rPr>
        <w:t>October</w:t>
      </w:r>
      <w:r w:rsidR="002A7181">
        <w:rPr>
          <w:b/>
          <w:noProof/>
          <w:sz w:val="24"/>
        </w:rPr>
        <w:t>, 2017</w:t>
      </w:r>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65BB481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9501C" w:rsidRPr="0039501C">
        <w:rPr>
          <w:sz w:val="22"/>
        </w:rPr>
        <w:t>Nokia, Nokia Shanghai Bell</w:t>
      </w:r>
    </w:p>
    <w:p w14:paraId="5B6A96A7" w14:textId="59B6CD0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426BE">
        <w:rPr>
          <w:sz w:val="22"/>
        </w:rPr>
        <w:t>Base station scheduler and MPR table zones</w:t>
      </w:r>
    </w:p>
    <w:p w14:paraId="23226DA5" w14:textId="794B10D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77D6D" w:rsidRPr="00A77D6D">
        <w:rPr>
          <w:b/>
          <w:sz w:val="22"/>
        </w:rPr>
        <w:t>9.4.3.3.2</w:t>
      </w:r>
    </w:p>
    <w:p w14:paraId="7AD518C5" w14:textId="2FFBF17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1D5579">
        <w:rPr>
          <w:sz w:val="22"/>
        </w:rPr>
        <w:t>Discussion</w:t>
      </w:r>
    </w:p>
    <w:p w14:paraId="5C2448DB" w14:textId="77777777" w:rsidR="0043450E" w:rsidRDefault="0043450E" w:rsidP="0043450E">
      <w:pPr>
        <w:pStyle w:val="Heading1"/>
      </w:pPr>
      <w:r>
        <w:t>1</w:t>
      </w:r>
      <w:r>
        <w:tab/>
        <w:t>Introduction</w:t>
      </w:r>
    </w:p>
    <w:p w14:paraId="770BED2B" w14:textId="2B50599C" w:rsidR="0043450E" w:rsidRDefault="00623B61" w:rsidP="0043450E">
      <w:r>
        <w:t xml:space="preserve">The WF on </w:t>
      </w:r>
      <w:r w:rsidR="00C16AFB">
        <w:t xml:space="preserve">NR </w:t>
      </w:r>
      <w:r>
        <w:t>MPR table format</w:t>
      </w:r>
      <w:r w:rsidR="00C16AFB">
        <w:t xml:space="preserve"> for sub-6 GHz</w:t>
      </w:r>
      <w:r>
        <w:t xml:space="preserve"> </w:t>
      </w:r>
      <w:r w:rsidR="00C16AFB">
        <w:t xml:space="preserve">[1] divides the resource allocations into “inner” and “outer” </w:t>
      </w:r>
      <w:r w:rsidR="006426BE">
        <w:t>zones</w:t>
      </w:r>
      <w:r w:rsidR="00C16AFB">
        <w:t xml:space="preserve">. The outer allocations are typically ACLR or SEM limited cases, in which the resource blocks locate at or close to the edge of the channel. The inner allocations are typically such that </w:t>
      </w:r>
      <w:r w:rsidR="00CD2B91">
        <w:t>the spectral regrowth is mostly confined within the channel, hence are in-band emission mask or EVM limited. Based on simulations, the MPR needed for the inner allocations is typically smaller than for outer allocations.</w:t>
      </w:r>
    </w:p>
    <w:p w14:paraId="72AA7753" w14:textId="3D9F74D4" w:rsidR="00CD2B91" w:rsidRPr="00D97FE6" w:rsidRDefault="00CD2B91" w:rsidP="0043450E">
      <w:r>
        <w:t>This document discusses the complexity issues at the base station scheduler, rising from the more complicated MPR table format compared to LTE.</w:t>
      </w:r>
    </w:p>
    <w:p w14:paraId="1F96953E" w14:textId="2925D447" w:rsidR="0043450E" w:rsidRDefault="0043450E" w:rsidP="0043450E">
      <w:pPr>
        <w:pStyle w:val="Heading1"/>
      </w:pPr>
      <w:bookmarkStart w:id="1" w:name="_Toc286177644"/>
      <w:r>
        <w:t>2</w:t>
      </w:r>
      <w:r>
        <w:tab/>
        <w:t>Discussion</w:t>
      </w:r>
    </w:p>
    <w:p w14:paraId="3FF52582" w14:textId="0147B4F5" w:rsidR="00CD2B91" w:rsidRDefault="00CD2B91" w:rsidP="00F275C3">
      <w:r>
        <w:t xml:space="preserve">The </w:t>
      </w:r>
      <w:r w:rsidR="00E24DF4">
        <w:t>MPR for contiguous allocation in LTE</w:t>
      </w:r>
      <w:r w:rsidR="00DA11A8">
        <w:t xml:space="preserve"> depends on the size of the RB allocation, not position inside the channel. Edge allocations and inner allocations have the same MPR:</w:t>
      </w:r>
    </w:p>
    <w:p w14:paraId="5EEAE10E" w14:textId="77777777" w:rsidR="00DA11A8" w:rsidRPr="005D7A6F" w:rsidRDefault="00DA11A8" w:rsidP="00DA11A8">
      <w:pPr>
        <w:pStyle w:val="TH"/>
      </w:pPr>
      <w:r w:rsidRPr="005D7A6F">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A11A8" w:rsidRPr="005D7A6F" w14:paraId="132293A4" w14:textId="77777777" w:rsidTr="00A33854">
        <w:tc>
          <w:tcPr>
            <w:tcW w:w="1417" w:type="dxa"/>
            <w:vMerge w:val="restart"/>
          </w:tcPr>
          <w:p w14:paraId="73C8C1D4" w14:textId="77777777" w:rsidR="00DA11A8" w:rsidRPr="005D7A6F" w:rsidRDefault="00DA11A8" w:rsidP="00A33854">
            <w:pPr>
              <w:pStyle w:val="TAH"/>
              <w:rPr>
                <w:rFonts w:cs="Arial"/>
              </w:rPr>
            </w:pPr>
            <w:r w:rsidRPr="005D7A6F">
              <w:rPr>
                <w:rFonts w:cs="Arial"/>
              </w:rPr>
              <w:t>Modulation</w:t>
            </w:r>
          </w:p>
        </w:tc>
        <w:tc>
          <w:tcPr>
            <w:tcW w:w="5659" w:type="dxa"/>
            <w:gridSpan w:val="6"/>
          </w:tcPr>
          <w:p w14:paraId="77C0E9DC" w14:textId="77777777" w:rsidR="00DA11A8" w:rsidRPr="005D7A6F" w:rsidRDefault="00DA11A8" w:rsidP="00A33854">
            <w:pPr>
              <w:pStyle w:val="TAH"/>
              <w:rPr>
                <w:rFonts w:cs="Arial"/>
                <w:lang w:val="de-DE"/>
              </w:rPr>
            </w:pPr>
            <w:r w:rsidRPr="005D7A6F">
              <w:rPr>
                <w:rFonts w:cs="Arial"/>
                <w:lang w:val="de-DE"/>
              </w:rPr>
              <w:t>Channel bandwidth / Transmission bandwidth (N</w:t>
            </w:r>
            <w:r w:rsidRPr="005D7A6F">
              <w:rPr>
                <w:rFonts w:cs="Arial"/>
                <w:vertAlign w:val="subscript"/>
                <w:lang w:val="de-DE"/>
              </w:rPr>
              <w:t>RB</w:t>
            </w:r>
            <w:r w:rsidRPr="005D7A6F">
              <w:rPr>
                <w:rFonts w:cs="Arial"/>
                <w:lang w:val="de-DE"/>
              </w:rPr>
              <w:t>)</w:t>
            </w:r>
          </w:p>
        </w:tc>
        <w:tc>
          <w:tcPr>
            <w:tcW w:w="1134" w:type="dxa"/>
            <w:vMerge w:val="restart"/>
          </w:tcPr>
          <w:p w14:paraId="3ED882E6" w14:textId="77777777" w:rsidR="00DA11A8" w:rsidRPr="005D7A6F" w:rsidRDefault="00DA11A8" w:rsidP="00A33854">
            <w:pPr>
              <w:pStyle w:val="TAH"/>
              <w:rPr>
                <w:rFonts w:cs="Arial"/>
              </w:rPr>
            </w:pPr>
            <w:r w:rsidRPr="005D7A6F">
              <w:rPr>
                <w:rFonts w:cs="Arial"/>
              </w:rPr>
              <w:t>MPR (dB)</w:t>
            </w:r>
          </w:p>
        </w:tc>
      </w:tr>
      <w:tr w:rsidR="00DA11A8" w:rsidRPr="005D7A6F" w14:paraId="1E649808" w14:textId="77777777" w:rsidTr="00A33854">
        <w:trPr>
          <w:trHeight w:val="383"/>
        </w:trPr>
        <w:tc>
          <w:tcPr>
            <w:tcW w:w="1417" w:type="dxa"/>
            <w:vMerge/>
          </w:tcPr>
          <w:p w14:paraId="3086A523" w14:textId="77777777" w:rsidR="00DA11A8" w:rsidRPr="005D7A6F" w:rsidRDefault="00DA11A8" w:rsidP="00A33854">
            <w:pPr>
              <w:pStyle w:val="TAH"/>
              <w:rPr>
                <w:rFonts w:cs="Arial"/>
              </w:rPr>
            </w:pPr>
          </w:p>
        </w:tc>
        <w:tc>
          <w:tcPr>
            <w:tcW w:w="982" w:type="dxa"/>
          </w:tcPr>
          <w:p w14:paraId="387A1026" w14:textId="77777777" w:rsidR="00DA11A8" w:rsidRPr="005D7A6F" w:rsidRDefault="00DA11A8" w:rsidP="00A33854">
            <w:pPr>
              <w:pStyle w:val="TAH"/>
              <w:rPr>
                <w:rFonts w:cs="Arial"/>
              </w:rPr>
            </w:pPr>
            <w:r w:rsidRPr="005D7A6F">
              <w:rPr>
                <w:rFonts w:cs="Arial"/>
              </w:rPr>
              <w:t>1.4</w:t>
            </w:r>
          </w:p>
          <w:p w14:paraId="3DCA52E1" w14:textId="77777777" w:rsidR="00DA11A8" w:rsidRPr="005D7A6F" w:rsidRDefault="00DA11A8" w:rsidP="00A33854">
            <w:pPr>
              <w:pStyle w:val="TAH"/>
              <w:rPr>
                <w:rFonts w:cs="Arial"/>
              </w:rPr>
            </w:pPr>
            <w:r w:rsidRPr="005D7A6F">
              <w:rPr>
                <w:rFonts w:cs="Arial"/>
              </w:rPr>
              <w:t>MHz</w:t>
            </w:r>
          </w:p>
        </w:tc>
        <w:tc>
          <w:tcPr>
            <w:tcW w:w="1003" w:type="dxa"/>
          </w:tcPr>
          <w:p w14:paraId="15DA49BF" w14:textId="77777777" w:rsidR="00DA11A8" w:rsidRPr="005D7A6F" w:rsidRDefault="00DA11A8" w:rsidP="00A33854">
            <w:pPr>
              <w:pStyle w:val="TAH"/>
              <w:rPr>
                <w:rFonts w:cs="Arial"/>
              </w:rPr>
            </w:pPr>
            <w:r w:rsidRPr="005D7A6F">
              <w:rPr>
                <w:rFonts w:cs="Arial"/>
              </w:rPr>
              <w:t>3.0</w:t>
            </w:r>
          </w:p>
          <w:p w14:paraId="724BED37" w14:textId="77777777" w:rsidR="00DA11A8" w:rsidRPr="005D7A6F" w:rsidRDefault="00DA11A8" w:rsidP="00A33854">
            <w:pPr>
              <w:pStyle w:val="TAH"/>
              <w:rPr>
                <w:rFonts w:cs="Arial"/>
              </w:rPr>
            </w:pPr>
            <w:r w:rsidRPr="005D7A6F">
              <w:rPr>
                <w:rFonts w:cs="Arial"/>
              </w:rPr>
              <w:t>MHz</w:t>
            </w:r>
          </w:p>
        </w:tc>
        <w:tc>
          <w:tcPr>
            <w:tcW w:w="698" w:type="dxa"/>
          </w:tcPr>
          <w:p w14:paraId="65D84619" w14:textId="77777777" w:rsidR="00DA11A8" w:rsidRPr="005D7A6F" w:rsidRDefault="00DA11A8" w:rsidP="00A33854">
            <w:pPr>
              <w:pStyle w:val="TAH"/>
              <w:rPr>
                <w:rFonts w:cs="Arial"/>
              </w:rPr>
            </w:pPr>
            <w:r w:rsidRPr="005D7A6F">
              <w:rPr>
                <w:rFonts w:cs="Arial"/>
              </w:rPr>
              <w:t>5</w:t>
            </w:r>
          </w:p>
          <w:p w14:paraId="3506154F" w14:textId="77777777" w:rsidR="00DA11A8" w:rsidRPr="005D7A6F" w:rsidRDefault="00DA11A8" w:rsidP="00A33854">
            <w:pPr>
              <w:pStyle w:val="TAH"/>
              <w:rPr>
                <w:rFonts w:cs="Arial"/>
              </w:rPr>
            </w:pPr>
            <w:r w:rsidRPr="005D7A6F">
              <w:rPr>
                <w:rFonts w:cs="Arial"/>
              </w:rPr>
              <w:t>MHz</w:t>
            </w:r>
          </w:p>
        </w:tc>
        <w:tc>
          <w:tcPr>
            <w:tcW w:w="992" w:type="dxa"/>
          </w:tcPr>
          <w:p w14:paraId="456C4493" w14:textId="77777777" w:rsidR="00DA11A8" w:rsidRPr="005D7A6F" w:rsidRDefault="00DA11A8" w:rsidP="00A33854">
            <w:pPr>
              <w:pStyle w:val="TAH"/>
              <w:rPr>
                <w:rFonts w:cs="Arial"/>
              </w:rPr>
            </w:pPr>
            <w:r w:rsidRPr="005D7A6F">
              <w:rPr>
                <w:rFonts w:cs="Arial"/>
              </w:rPr>
              <w:t>10</w:t>
            </w:r>
          </w:p>
          <w:p w14:paraId="658FA32D" w14:textId="77777777" w:rsidR="00DA11A8" w:rsidRPr="005D7A6F" w:rsidRDefault="00DA11A8" w:rsidP="00A33854">
            <w:pPr>
              <w:pStyle w:val="TAH"/>
              <w:rPr>
                <w:rFonts w:cs="Arial"/>
              </w:rPr>
            </w:pPr>
            <w:r w:rsidRPr="005D7A6F">
              <w:rPr>
                <w:rFonts w:cs="Arial"/>
              </w:rPr>
              <w:t>MHz</w:t>
            </w:r>
          </w:p>
        </w:tc>
        <w:tc>
          <w:tcPr>
            <w:tcW w:w="992" w:type="dxa"/>
          </w:tcPr>
          <w:p w14:paraId="5273E524" w14:textId="77777777" w:rsidR="00DA11A8" w:rsidRPr="005D7A6F" w:rsidRDefault="00DA11A8" w:rsidP="00A33854">
            <w:pPr>
              <w:pStyle w:val="TAH"/>
              <w:rPr>
                <w:rFonts w:cs="Arial"/>
              </w:rPr>
            </w:pPr>
            <w:r w:rsidRPr="005D7A6F">
              <w:rPr>
                <w:rFonts w:cs="Arial"/>
              </w:rPr>
              <w:t>15</w:t>
            </w:r>
          </w:p>
          <w:p w14:paraId="432A7038" w14:textId="77777777" w:rsidR="00DA11A8" w:rsidRPr="005D7A6F" w:rsidRDefault="00DA11A8" w:rsidP="00A33854">
            <w:pPr>
              <w:pStyle w:val="TAH"/>
              <w:rPr>
                <w:rFonts w:cs="Arial"/>
              </w:rPr>
            </w:pPr>
            <w:r w:rsidRPr="005D7A6F">
              <w:rPr>
                <w:rFonts w:cs="Arial"/>
              </w:rPr>
              <w:t>MHz</w:t>
            </w:r>
          </w:p>
        </w:tc>
        <w:tc>
          <w:tcPr>
            <w:tcW w:w="992" w:type="dxa"/>
          </w:tcPr>
          <w:p w14:paraId="4E1FDB86" w14:textId="77777777" w:rsidR="00DA11A8" w:rsidRPr="005D7A6F" w:rsidRDefault="00DA11A8" w:rsidP="00A33854">
            <w:pPr>
              <w:pStyle w:val="TAH"/>
              <w:rPr>
                <w:rFonts w:cs="Arial"/>
              </w:rPr>
            </w:pPr>
            <w:r w:rsidRPr="005D7A6F">
              <w:rPr>
                <w:rFonts w:cs="Arial"/>
              </w:rPr>
              <w:t>20</w:t>
            </w:r>
          </w:p>
          <w:p w14:paraId="373592F3" w14:textId="77777777" w:rsidR="00DA11A8" w:rsidRPr="005D7A6F" w:rsidRDefault="00DA11A8" w:rsidP="00A33854">
            <w:pPr>
              <w:pStyle w:val="TAH"/>
              <w:rPr>
                <w:rFonts w:cs="Arial"/>
              </w:rPr>
            </w:pPr>
            <w:r w:rsidRPr="005D7A6F">
              <w:rPr>
                <w:rFonts w:cs="Arial"/>
              </w:rPr>
              <w:t>MHz</w:t>
            </w:r>
          </w:p>
        </w:tc>
        <w:tc>
          <w:tcPr>
            <w:tcW w:w="1134" w:type="dxa"/>
            <w:vMerge/>
          </w:tcPr>
          <w:p w14:paraId="1D534401" w14:textId="77777777" w:rsidR="00DA11A8" w:rsidRPr="005D7A6F" w:rsidRDefault="00DA11A8" w:rsidP="00A33854">
            <w:pPr>
              <w:pStyle w:val="TH"/>
              <w:rPr>
                <w:rFonts w:cs="Arial"/>
                <w:sz w:val="18"/>
                <w:szCs w:val="18"/>
              </w:rPr>
            </w:pPr>
          </w:p>
        </w:tc>
      </w:tr>
      <w:tr w:rsidR="00DA11A8" w:rsidRPr="005D7A6F" w14:paraId="1EB0DF51" w14:textId="77777777" w:rsidTr="00A33854">
        <w:tc>
          <w:tcPr>
            <w:tcW w:w="1417" w:type="dxa"/>
          </w:tcPr>
          <w:p w14:paraId="14293131" w14:textId="77777777" w:rsidR="00DA11A8" w:rsidRPr="005D7A6F" w:rsidRDefault="00DA11A8" w:rsidP="00A33854">
            <w:pPr>
              <w:pStyle w:val="TAC"/>
              <w:rPr>
                <w:rFonts w:cs="Arial"/>
              </w:rPr>
            </w:pPr>
            <w:r w:rsidRPr="005D7A6F">
              <w:rPr>
                <w:rFonts w:cs="Arial"/>
              </w:rPr>
              <w:t>QPSK</w:t>
            </w:r>
          </w:p>
        </w:tc>
        <w:tc>
          <w:tcPr>
            <w:tcW w:w="982" w:type="dxa"/>
          </w:tcPr>
          <w:p w14:paraId="0B50E6D1" w14:textId="77777777" w:rsidR="00DA11A8" w:rsidRPr="005D7A6F" w:rsidRDefault="00DA11A8" w:rsidP="00A33854">
            <w:pPr>
              <w:pStyle w:val="TAC"/>
              <w:rPr>
                <w:rFonts w:cs="Arial"/>
              </w:rPr>
            </w:pPr>
            <w:r w:rsidRPr="005D7A6F">
              <w:rPr>
                <w:rFonts w:cs="Arial"/>
              </w:rPr>
              <w:t xml:space="preserve">&gt; 5 </w:t>
            </w:r>
          </w:p>
        </w:tc>
        <w:tc>
          <w:tcPr>
            <w:tcW w:w="1003" w:type="dxa"/>
          </w:tcPr>
          <w:p w14:paraId="39B39460" w14:textId="77777777" w:rsidR="00DA11A8" w:rsidRPr="005D7A6F" w:rsidRDefault="00DA11A8" w:rsidP="00A33854">
            <w:pPr>
              <w:pStyle w:val="TAC"/>
              <w:rPr>
                <w:rFonts w:cs="Arial"/>
              </w:rPr>
            </w:pPr>
            <w:r w:rsidRPr="005D7A6F">
              <w:rPr>
                <w:rFonts w:cs="Arial"/>
              </w:rPr>
              <w:t xml:space="preserve">&gt; 4 </w:t>
            </w:r>
          </w:p>
        </w:tc>
        <w:tc>
          <w:tcPr>
            <w:tcW w:w="698" w:type="dxa"/>
          </w:tcPr>
          <w:p w14:paraId="39500669" w14:textId="77777777" w:rsidR="00DA11A8" w:rsidRPr="005D7A6F" w:rsidRDefault="00DA11A8" w:rsidP="00A33854">
            <w:pPr>
              <w:pStyle w:val="TAC"/>
              <w:rPr>
                <w:rFonts w:cs="Arial"/>
              </w:rPr>
            </w:pPr>
            <w:r w:rsidRPr="005D7A6F">
              <w:rPr>
                <w:rFonts w:cs="Arial"/>
              </w:rPr>
              <w:t xml:space="preserve">&gt; 8 </w:t>
            </w:r>
          </w:p>
        </w:tc>
        <w:tc>
          <w:tcPr>
            <w:tcW w:w="992" w:type="dxa"/>
          </w:tcPr>
          <w:p w14:paraId="4E12B453" w14:textId="77777777" w:rsidR="00DA11A8" w:rsidRPr="005D7A6F" w:rsidRDefault="00DA11A8" w:rsidP="00A33854">
            <w:pPr>
              <w:pStyle w:val="TAC"/>
              <w:rPr>
                <w:rFonts w:cs="Arial"/>
              </w:rPr>
            </w:pPr>
            <w:r w:rsidRPr="005D7A6F">
              <w:rPr>
                <w:rFonts w:cs="Arial"/>
              </w:rPr>
              <w:t>&gt; 12</w:t>
            </w:r>
          </w:p>
        </w:tc>
        <w:tc>
          <w:tcPr>
            <w:tcW w:w="992" w:type="dxa"/>
          </w:tcPr>
          <w:p w14:paraId="3E9CA740" w14:textId="77777777" w:rsidR="00DA11A8" w:rsidRPr="005D7A6F" w:rsidRDefault="00DA11A8" w:rsidP="00A33854">
            <w:pPr>
              <w:pStyle w:val="TAC"/>
              <w:rPr>
                <w:rFonts w:cs="Arial"/>
              </w:rPr>
            </w:pPr>
            <w:r w:rsidRPr="005D7A6F">
              <w:rPr>
                <w:rFonts w:cs="Arial"/>
              </w:rPr>
              <w:t>&gt; 16</w:t>
            </w:r>
          </w:p>
        </w:tc>
        <w:tc>
          <w:tcPr>
            <w:tcW w:w="992" w:type="dxa"/>
          </w:tcPr>
          <w:p w14:paraId="1AC90696" w14:textId="77777777" w:rsidR="00DA11A8" w:rsidRPr="005D7A6F" w:rsidRDefault="00DA11A8" w:rsidP="00A33854">
            <w:pPr>
              <w:pStyle w:val="TAC"/>
              <w:rPr>
                <w:rFonts w:cs="Arial"/>
              </w:rPr>
            </w:pPr>
            <w:r w:rsidRPr="005D7A6F">
              <w:rPr>
                <w:rFonts w:cs="Arial"/>
              </w:rPr>
              <w:t>&gt; 18</w:t>
            </w:r>
          </w:p>
        </w:tc>
        <w:tc>
          <w:tcPr>
            <w:tcW w:w="1134" w:type="dxa"/>
          </w:tcPr>
          <w:p w14:paraId="2D0E7525" w14:textId="77777777" w:rsidR="00DA11A8" w:rsidRPr="005D7A6F" w:rsidRDefault="00DA11A8" w:rsidP="00A33854">
            <w:pPr>
              <w:pStyle w:val="TAC"/>
              <w:rPr>
                <w:rFonts w:cs="Arial"/>
              </w:rPr>
            </w:pPr>
            <w:r w:rsidRPr="005D7A6F">
              <w:rPr>
                <w:rFonts w:cs="Arial"/>
              </w:rPr>
              <w:t>≤ 1</w:t>
            </w:r>
          </w:p>
        </w:tc>
      </w:tr>
      <w:tr w:rsidR="00DA11A8" w:rsidRPr="005D7A6F" w14:paraId="222039A4" w14:textId="77777777" w:rsidTr="00A33854">
        <w:tc>
          <w:tcPr>
            <w:tcW w:w="1417" w:type="dxa"/>
          </w:tcPr>
          <w:p w14:paraId="0273D5DC" w14:textId="77777777" w:rsidR="00DA11A8" w:rsidRPr="005D7A6F" w:rsidRDefault="00DA11A8" w:rsidP="00A33854">
            <w:pPr>
              <w:pStyle w:val="TAC"/>
              <w:rPr>
                <w:rFonts w:cs="Arial"/>
              </w:rPr>
            </w:pPr>
            <w:r w:rsidRPr="005D7A6F">
              <w:rPr>
                <w:rFonts w:cs="Arial"/>
              </w:rPr>
              <w:t>16 QAM</w:t>
            </w:r>
          </w:p>
        </w:tc>
        <w:tc>
          <w:tcPr>
            <w:tcW w:w="982" w:type="dxa"/>
          </w:tcPr>
          <w:p w14:paraId="30E00B93" w14:textId="77777777" w:rsidR="00DA11A8" w:rsidRPr="005D7A6F" w:rsidRDefault="00DA11A8" w:rsidP="00A33854">
            <w:pPr>
              <w:pStyle w:val="TAC"/>
              <w:rPr>
                <w:rFonts w:cs="Arial"/>
              </w:rPr>
            </w:pPr>
            <w:r w:rsidRPr="005D7A6F">
              <w:rPr>
                <w:rFonts w:cs="Arial"/>
              </w:rPr>
              <w:t xml:space="preserve">≤ 5 </w:t>
            </w:r>
          </w:p>
        </w:tc>
        <w:tc>
          <w:tcPr>
            <w:tcW w:w="1003" w:type="dxa"/>
          </w:tcPr>
          <w:p w14:paraId="1E28D827" w14:textId="77777777" w:rsidR="00DA11A8" w:rsidRPr="005D7A6F" w:rsidRDefault="00DA11A8" w:rsidP="00A33854">
            <w:pPr>
              <w:pStyle w:val="TAC"/>
              <w:rPr>
                <w:rFonts w:cs="Arial"/>
              </w:rPr>
            </w:pPr>
            <w:r w:rsidRPr="005D7A6F">
              <w:rPr>
                <w:rFonts w:cs="Arial"/>
              </w:rPr>
              <w:t>≤ 4</w:t>
            </w:r>
          </w:p>
        </w:tc>
        <w:tc>
          <w:tcPr>
            <w:tcW w:w="698" w:type="dxa"/>
          </w:tcPr>
          <w:p w14:paraId="1FF9212B" w14:textId="77777777" w:rsidR="00DA11A8" w:rsidRPr="005D7A6F" w:rsidRDefault="00DA11A8" w:rsidP="00A33854">
            <w:pPr>
              <w:pStyle w:val="TAC"/>
              <w:rPr>
                <w:rFonts w:cs="Arial"/>
              </w:rPr>
            </w:pPr>
            <w:r w:rsidRPr="005D7A6F">
              <w:rPr>
                <w:rFonts w:cs="Arial"/>
              </w:rPr>
              <w:t>≤ 8</w:t>
            </w:r>
          </w:p>
        </w:tc>
        <w:tc>
          <w:tcPr>
            <w:tcW w:w="992" w:type="dxa"/>
          </w:tcPr>
          <w:p w14:paraId="337A2FA9" w14:textId="77777777" w:rsidR="00DA11A8" w:rsidRPr="005D7A6F" w:rsidRDefault="00DA11A8" w:rsidP="00A33854">
            <w:pPr>
              <w:pStyle w:val="TAC"/>
              <w:rPr>
                <w:rFonts w:cs="Arial"/>
              </w:rPr>
            </w:pPr>
            <w:r w:rsidRPr="005D7A6F">
              <w:rPr>
                <w:rFonts w:cs="Arial"/>
              </w:rPr>
              <w:t>≤ 12</w:t>
            </w:r>
          </w:p>
        </w:tc>
        <w:tc>
          <w:tcPr>
            <w:tcW w:w="992" w:type="dxa"/>
          </w:tcPr>
          <w:p w14:paraId="71833358" w14:textId="77777777" w:rsidR="00DA11A8" w:rsidRPr="005D7A6F" w:rsidRDefault="00DA11A8" w:rsidP="00A33854">
            <w:pPr>
              <w:pStyle w:val="TAC"/>
              <w:rPr>
                <w:rFonts w:cs="Arial"/>
              </w:rPr>
            </w:pPr>
            <w:r w:rsidRPr="005D7A6F">
              <w:rPr>
                <w:rFonts w:cs="Arial"/>
              </w:rPr>
              <w:t>≤ 16</w:t>
            </w:r>
          </w:p>
        </w:tc>
        <w:tc>
          <w:tcPr>
            <w:tcW w:w="992" w:type="dxa"/>
          </w:tcPr>
          <w:p w14:paraId="5155A5B6" w14:textId="77777777" w:rsidR="00DA11A8" w:rsidRPr="005D7A6F" w:rsidRDefault="00DA11A8" w:rsidP="00A33854">
            <w:pPr>
              <w:pStyle w:val="TAC"/>
              <w:rPr>
                <w:rFonts w:cs="Arial"/>
              </w:rPr>
            </w:pPr>
            <w:r w:rsidRPr="005D7A6F">
              <w:rPr>
                <w:rFonts w:cs="Arial"/>
              </w:rPr>
              <w:t>≤ 18</w:t>
            </w:r>
          </w:p>
        </w:tc>
        <w:tc>
          <w:tcPr>
            <w:tcW w:w="1134" w:type="dxa"/>
          </w:tcPr>
          <w:p w14:paraId="5DC322F0" w14:textId="77777777" w:rsidR="00DA11A8" w:rsidRPr="005D7A6F" w:rsidRDefault="00DA11A8" w:rsidP="00A33854">
            <w:pPr>
              <w:pStyle w:val="TAC"/>
              <w:rPr>
                <w:rFonts w:cs="Arial"/>
              </w:rPr>
            </w:pPr>
            <w:r w:rsidRPr="005D7A6F">
              <w:rPr>
                <w:rFonts w:cs="Arial"/>
              </w:rPr>
              <w:t>≤ 1</w:t>
            </w:r>
          </w:p>
        </w:tc>
      </w:tr>
      <w:tr w:rsidR="00DA11A8" w:rsidRPr="005D7A6F" w14:paraId="7C9AEE89" w14:textId="77777777" w:rsidTr="00A33854">
        <w:tc>
          <w:tcPr>
            <w:tcW w:w="1417" w:type="dxa"/>
          </w:tcPr>
          <w:p w14:paraId="495003FF" w14:textId="77777777" w:rsidR="00DA11A8" w:rsidRPr="005D7A6F" w:rsidRDefault="00DA11A8" w:rsidP="00A33854">
            <w:pPr>
              <w:pStyle w:val="TAC"/>
              <w:rPr>
                <w:rFonts w:cs="Arial"/>
              </w:rPr>
            </w:pPr>
            <w:r w:rsidRPr="005D7A6F">
              <w:rPr>
                <w:rFonts w:cs="Arial"/>
              </w:rPr>
              <w:t>16 QAM</w:t>
            </w:r>
          </w:p>
        </w:tc>
        <w:tc>
          <w:tcPr>
            <w:tcW w:w="982" w:type="dxa"/>
          </w:tcPr>
          <w:p w14:paraId="1DB6290D" w14:textId="77777777" w:rsidR="00DA11A8" w:rsidRPr="005D7A6F" w:rsidRDefault="00DA11A8" w:rsidP="00A33854">
            <w:pPr>
              <w:pStyle w:val="TAC"/>
              <w:rPr>
                <w:rFonts w:cs="Arial"/>
              </w:rPr>
            </w:pPr>
            <w:r w:rsidRPr="005D7A6F">
              <w:rPr>
                <w:rFonts w:cs="Arial"/>
              </w:rPr>
              <w:t xml:space="preserve">&gt; 5 </w:t>
            </w:r>
          </w:p>
        </w:tc>
        <w:tc>
          <w:tcPr>
            <w:tcW w:w="1003" w:type="dxa"/>
          </w:tcPr>
          <w:p w14:paraId="7051A246" w14:textId="77777777" w:rsidR="00DA11A8" w:rsidRPr="005D7A6F" w:rsidRDefault="00DA11A8" w:rsidP="00A33854">
            <w:pPr>
              <w:pStyle w:val="TAC"/>
              <w:rPr>
                <w:rFonts w:cs="Arial"/>
              </w:rPr>
            </w:pPr>
            <w:r w:rsidRPr="005D7A6F">
              <w:rPr>
                <w:rFonts w:cs="Arial"/>
              </w:rPr>
              <w:t>&gt; 4</w:t>
            </w:r>
          </w:p>
        </w:tc>
        <w:tc>
          <w:tcPr>
            <w:tcW w:w="698" w:type="dxa"/>
          </w:tcPr>
          <w:p w14:paraId="06CB4D5F" w14:textId="77777777" w:rsidR="00DA11A8" w:rsidRPr="005D7A6F" w:rsidRDefault="00DA11A8" w:rsidP="00A33854">
            <w:pPr>
              <w:pStyle w:val="TAC"/>
              <w:rPr>
                <w:rFonts w:cs="Arial"/>
              </w:rPr>
            </w:pPr>
            <w:r w:rsidRPr="005D7A6F">
              <w:rPr>
                <w:rFonts w:cs="Arial"/>
              </w:rPr>
              <w:t>&gt; 8</w:t>
            </w:r>
          </w:p>
        </w:tc>
        <w:tc>
          <w:tcPr>
            <w:tcW w:w="992" w:type="dxa"/>
          </w:tcPr>
          <w:p w14:paraId="4063E564" w14:textId="77777777" w:rsidR="00DA11A8" w:rsidRPr="005D7A6F" w:rsidRDefault="00DA11A8" w:rsidP="00A33854">
            <w:pPr>
              <w:pStyle w:val="TAC"/>
              <w:rPr>
                <w:rFonts w:cs="Arial"/>
              </w:rPr>
            </w:pPr>
            <w:r w:rsidRPr="005D7A6F">
              <w:rPr>
                <w:rFonts w:cs="Arial"/>
              </w:rPr>
              <w:t>&gt; 12</w:t>
            </w:r>
          </w:p>
        </w:tc>
        <w:tc>
          <w:tcPr>
            <w:tcW w:w="992" w:type="dxa"/>
          </w:tcPr>
          <w:p w14:paraId="536409CA" w14:textId="77777777" w:rsidR="00DA11A8" w:rsidRPr="005D7A6F" w:rsidRDefault="00DA11A8" w:rsidP="00A33854">
            <w:pPr>
              <w:pStyle w:val="TAC"/>
              <w:rPr>
                <w:rFonts w:cs="Arial"/>
              </w:rPr>
            </w:pPr>
            <w:r w:rsidRPr="005D7A6F">
              <w:rPr>
                <w:rFonts w:cs="Arial"/>
              </w:rPr>
              <w:t>&gt; 16</w:t>
            </w:r>
          </w:p>
        </w:tc>
        <w:tc>
          <w:tcPr>
            <w:tcW w:w="992" w:type="dxa"/>
          </w:tcPr>
          <w:p w14:paraId="3FD869C4" w14:textId="77777777" w:rsidR="00DA11A8" w:rsidRPr="005D7A6F" w:rsidRDefault="00DA11A8" w:rsidP="00A33854">
            <w:pPr>
              <w:pStyle w:val="TAC"/>
              <w:rPr>
                <w:rFonts w:cs="Arial"/>
              </w:rPr>
            </w:pPr>
            <w:r w:rsidRPr="005D7A6F">
              <w:rPr>
                <w:rFonts w:cs="Arial"/>
              </w:rPr>
              <w:t>&gt; 18</w:t>
            </w:r>
          </w:p>
        </w:tc>
        <w:tc>
          <w:tcPr>
            <w:tcW w:w="1134" w:type="dxa"/>
          </w:tcPr>
          <w:p w14:paraId="6C5E66CE" w14:textId="77777777" w:rsidR="00DA11A8" w:rsidRPr="005D7A6F" w:rsidRDefault="00DA11A8" w:rsidP="00A33854">
            <w:pPr>
              <w:pStyle w:val="TAC"/>
              <w:rPr>
                <w:rFonts w:cs="Arial"/>
              </w:rPr>
            </w:pPr>
            <w:r w:rsidRPr="005D7A6F">
              <w:rPr>
                <w:rFonts w:cs="Arial"/>
              </w:rPr>
              <w:t>≤ 2</w:t>
            </w:r>
          </w:p>
        </w:tc>
      </w:tr>
      <w:tr w:rsidR="00DA11A8" w:rsidRPr="005D7A6F" w14:paraId="64088EC9" w14:textId="77777777" w:rsidTr="00A33854">
        <w:tc>
          <w:tcPr>
            <w:tcW w:w="1417" w:type="dxa"/>
          </w:tcPr>
          <w:p w14:paraId="5EBDE7CB" w14:textId="77777777" w:rsidR="00DA11A8" w:rsidRPr="005D7A6F" w:rsidRDefault="00DA11A8" w:rsidP="00A33854">
            <w:pPr>
              <w:pStyle w:val="TAC"/>
              <w:rPr>
                <w:rFonts w:cs="Arial"/>
              </w:rPr>
            </w:pPr>
            <w:r w:rsidRPr="005D7A6F">
              <w:rPr>
                <w:rFonts w:cs="Arial" w:hint="eastAsia"/>
                <w:lang w:eastAsia="zh-CN"/>
              </w:rPr>
              <w:t>64</w:t>
            </w:r>
            <w:r w:rsidRPr="005D7A6F">
              <w:rPr>
                <w:rFonts w:cs="Arial"/>
              </w:rPr>
              <w:t xml:space="preserve"> QAM</w:t>
            </w:r>
          </w:p>
        </w:tc>
        <w:tc>
          <w:tcPr>
            <w:tcW w:w="982" w:type="dxa"/>
          </w:tcPr>
          <w:p w14:paraId="3672317C" w14:textId="77777777" w:rsidR="00DA11A8" w:rsidRPr="005D7A6F" w:rsidRDefault="00DA11A8" w:rsidP="00A33854">
            <w:pPr>
              <w:pStyle w:val="TAC"/>
              <w:rPr>
                <w:rFonts w:cs="Arial"/>
              </w:rPr>
            </w:pPr>
            <w:r w:rsidRPr="005D7A6F">
              <w:rPr>
                <w:rFonts w:cs="Arial"/>
              </w:rPr>
              <w:t xml:space="preserve">≤ 5 </w:t>
            </w:r>
          </w:p>
        </w:tc>
        <w:tc>
          <w:tcPr>
            <w:tcW w:w="1003" w:type="dxa"/>
          </w:tcPr>
          <w:p w14:paraId="55E13A9C" w14:textId="77777777" w:rsidR="00DA11A8" w:rsidRPr="005D7A6F" w:rsidRDefault="00DA11A8" w:rsidP="00A33854">
            <w:pPr>
              <w:pStyle w:val="TAC"/>
              <w:rPr>
                <w:rFonts w:cs="Arial"/>
              </w:rPr>
            </w:pPr>
            <w:r w:rsidRPr="005D7A6F">
              <w:rPr>
                <w:rFonts w:cs="Arial"/>
              </w:rPr>
              <w:t>≤ 4</w:t>
            </w:r>
          </w:p>
        </w:tc>
        <w:tc>
          <w:tcPr>
            <w:tcW w:w="698" w:type="dxa"/>
          </w:tcPr>
          <w:p w14:paraId="3C926756" w14:textId="77777777" w:rsidR="00DA11A8" w:rsidRPr="005D7A6F" w:rsidRDefault="00DA11A8" w:rsidP="00A33854">
            <w:pPr>
              <w:pStyle w:val="TAC"/>
              <w:rPr>
                <w:rFonts w:cs="Arial"/>
              </w:rPr>
            </w:pPr>
            <w:r w:rsidRPr="005D7A6F">
              <w:rPr>
                <w:rFonts w:cs="Arial"/>
              </w:rPr>
              <w:t>≤ 8</w:t>
            </w:r>
          </w:p>
        </w:tc>
        <w:tc>
          <w:tcPr>
            <w:tcW w:w="992" w:type="dxa"/>
          </w:tcPr>
          <w:p w14:paraId="579320F6" w14:textId="77777777" w:rsidR="00DA11A8" w:rsidRPr="005D7A6F" w:rsidRDefault="00DA11A8" w:rsidP="00A33854">
            <w:pPr>
              <w:pStyle w:val="TAC"/>
              <w:rPr>
                <w:rFonts w:cs="Arial"/>
              </w:rPr>
            </w:pPr>
            <w:r w:rsidRPr="005D7A6F">
              <w:rPr>
                <w:rFonts w:cs="Arial"/>
              </w:rPr>
              <w:t>≤ 12</w:t>
            </w:r>
          </w:p>
        </w:tc>
        <w:tc>
          <w:tcPr>
            <w:tcW w:w="992" w:type="dxa"/>
          </w:tcPr>
          <w:p w14:paraId="42646B96" w14:textId="77777777" w:rsidR="00DA11A8" w:rsidRPr="005D7A6F" w:rsidRDefault="00DA11A8" w:rsidP="00A33854">
            <w:pPr>
              <w:pStyle w:val="TAC"/>
              <w:rPr>
                <w:rFonts w:cs="Arial"/>
              </w:rPr>
            </w:pPr>
            <w:r w:rsidRPr="005D7A6F">
              <w:rPr>
                <w:rFonts w:cs="Arial"/>
              </w:rPr>
              <w:t>≤ 16</w:t>
            </w:r>
          </w:p>
        </w:tc>
        <w:tc>
          <w:tcPr>
            <w:tcW w:w="992" w:type="dxa"/>
          </w:tcPr>
          <w:p w14:paraId="21803AC0" w14:textId="77777777" w:rsidR="00DA11A8" w:rsidRPr="005D7A6F" w:rsidRDefault="00DA11A8" w:rsidP="00A33854">
            <w:pPr>
              <w:pStyle w:val="TAC"/>
              <w:rPr>
                <w:rFonts w:cs="Arial"/>
              </w:rPr>
            </w:pPr>
            <w:r w:rsidRPr="005D7A6F">
              <w:rPr>
                <w:rFonts w:cs="Arial"/>
              </w:rPr>
              <w:t>≤ 18</w:t>
            </w:r>
          </w:p>
        </w:tc>
        <w:tc>
          <w:tcPr>
            <w:tcW w:w="1134" w:type="dxa"/>
          </w:tcPr>
          <w:p w14:paraId="4F5AA8BF" w14:textId="77777777" w:rsidR="00DA11A8" w:rsidRPr="005D7A6F" w:rsidRDefault="00DA11A8" w:rsidP="00A33854">
            <w:pPr>
              <w:pStyle w:val="TAC"/>
              <w:rPr>
                <w:rFonts w:cs="Arial"/>
              </w:rPr>
            </w:pPr>
            <w:r w:rsidRPr="005D7A6F">
              <w:rPr>
                <w:rFonts w:cs="Arial"/>
              </w:rPr>
              <w:t xml:space="preserve">≤ </w:t>
            </w:r>
            <w:r w:rsidRPr="005D7A6F">
              <w:rPr>
                <w:rFonts w:cs="Arial" w:hint="eastAsia"/>
                <w:lang w:eastAsia="zh-CN"/>
              </w:rPr>
              <w:t>2</w:t>
            </w:r>
          </w:p>
        </w:tc>
      </w:tr>
      <w:tr w:rsidR="00DA11A8" w:rsidRPr="005D7A6F" w14:paraId="2CF243D4" w14:textId="77777777" w:rsidTr="00A33854">
        <w:tc>
          <w:tcPr>
            <w:tcW w:w="1417" w:type="dxa"/>
          </w:tcPr>
          <w:p w14:paraId="375AA856" w14:textId="77777777" w:rsidR="00DA11A8" w:rsidRPr="005D7A6F" w:rsidRDefault="00DA11A8" w:rsidP="00A33854">
            <w:pPr>
              <w:pStyle w:val="TAC"/>
              <w:rPr>
                <w:rFonts w:cs="Arial"/>
              </w:rPr>
            </w:pPr>
            <w:r w:rsidRPr="005D7A6F">
              <w:rPr>
                <w:rFonts w:cs="Arial" w:hint="eastAsia"/>
                <w:lang w:eastAsia="zh-CN"/>
              </w:rPr>
              <w:t>64</w:t>
            </w:r>
            <w:r w:rsidRPr="005D7A6F">
              <w:rPr>
                <w:rFonts w:cs="Arial"/>
              </w:rPr>
              <w:t xml:space="preserve"> QAM</w:t>
            </w:r>
          </w:p>
        </w:tc>
        <w:tc>
          <w:tcPr>
            <w:tcW w:w="982" w:type="dxa"/>
          </w:tcPr>
          <w:p w14:paraId="2BF8B3A0" w14:textId="77777777" w:rsidR="00DA11A8" w:rsidRPr="005D7A6F" w:rsidRDefault="00DA11A8" w:rsidP="00A33854">
            <w:pPr>
              <w:pStyle w:val="TAC"/>
              <w:rPr>
                <w:rFonts w:cs="Arial"/>
              </w:rPr>
            </w:pPr>
            <w:r w:rsidRPr="005D7A6F">
              <w:rPr>
                <w:rFonts w:cs="Arial"/>
              </w:rPr>
              <w:t xml:space="preserve">&gt; 5 </w:t>
            </w:r>
          </w:p>
        </w:tc>
        <w:tc>
          <w:tcPr>
            <w:tcW w:w="1003" w:type="dxa"/>
          </w:tcPr>
          <w:p w14:paraId="7F0FC66E" w14:textId="77777777" w:rsidR="00DA11A8" w:rsidRPr="005D7A6F" w:rsidRDefault="00DA11A8" w:rsidP="00A33854">
            <w:pPr>
              <w:pStyle w:val="TAC"/>
              <w:rPr>
                <w:rFonts w:cs="Arial"/>
              </w:rPr>
            </w:pPr>
            <w:r w:rsidRPr="005D7A6F">
              <w:rPr>
                <w:rFonts w:cs="Arial"/>
              </w:rPr>
              <w:t>&gt; 4</w:t>
            </w:r>
          </w:p>
        </w:tc>
        <w:tc>
          <w:tcPr>
            <w:tcW w:w="698" w:type="dxa"/>
          </w:tcPr>
          <w:p w14:paraId="1B3C6AD7" w14:textId="77777777" w:rsidR="00DA11A8" w:rsidRPr="005D7A6F" w:rsidRDefault="00DA11A8" w:rsidP="00A33854">
            <w:pPr>
              <w:pStyle w:val="TAC"/>
              <w:rPr>
                <w:rFonts w:cs="Arial"/>
              </w:rPr>
            </w:pPr>
            <w:r w:rsidRPr="005D7A6F">
              <w:rPr>
                <w:rFonts w:cs="Arial"/>
              </w:rPr>
              <w:t>&gt; 8</w:t>
            </w:r>
          </w:p>
        </w:tc>
        <w:tc>
          <w:tcPr>
            <w:tcW w:w="992" w:type="dxa"/>
          </w:tcPr>
          <w:p w14:paraId="77DB7DC3" w14:textId="77777777" w:rsidR="00DA11A8" w:rsidRPr="005D7A6F" w:rsidRDefault="00DA11A8" w:rsidP="00A33854">
            <w:pPr>
              <w:pStyle w:val="TAC"/>
              <w:rPr>
                <w:rFonts w:cs="Arial"/>
              </w:rPr>
            </w:pPr>
            <w:r w:rsidRPr="005D7A6F">
              <w:rPr>
                <w:rFonts w:cs="Arial"/>
              </w:rPr>
              <w:t>&gt; 12</w:t>
            </w:r>
          </w:p>
        </w:tc>
        <w:tc>
          <w:tcPr>
            <w:tcW w:w="992" w:type="dxa"/>
          </w:tcPr>
          <w:p w14:paraId="3A74A2DE" w14:textId="77777777" w:rsidR="00DA11A8" w:rsidRPr="005D7A6F" w:rsidRDefault="00DA11A8" w:rsidP="00A33854">
            <w:pPr>
              <w:pStyle w:val="TAC"/>
              <w:rPr>
                <w:rFonts w:cs="Arial"/>
              </w:rPr>
            </w:pPr>
            <w:r w:rsidRPr="005D7A6F">
              <w:rPr>
                <w:rFonts w:cs="Arial"/>
              </w:rPr>
              <w:t>&gt; 16</w:t>
            </w:r>
          </w:p>
        </w:tc>
        <w:tc>
          <w:tcPr>
            <w:tcW w:w="992" w:type="dxa"/>
          </w:tcPr>
          <w:p w14:paraId="2798F066" w14:textId="77777777" w:rsidR="00DA11A8" w:rsidRPr="005D7A6F" w:rsidRDefault="00DA11A8" w:rsidP="00A33854">
            <w:pPr>
              <w:pStyle w:val="TAC"/>
              <w:rPr>
                <w:rFonts w:cs="Arial"/>
              </w:rPr>
            </w:pPr>
            <w:r w:rsidRPr="005D7A6F">
              <w:rPr>
                <w:rFonts w:cs="Arial"/>
              </w:rPr>
              <w:t>&gt; 18</w:t>
            </w:r>
          </w:p>
        </w:tc>
        <w:tc>
          <w:tcPr>
            <w:tcW w:w="1134" w:type="dxa"/>
          </w:tcPr>
          <w:p w14:paraId="314B330D" w14:textId="77777777" w:rsidR="00DA11A8" w:rsidRPr="005D7A6F" w:rsidRDefault="00DA11A8" w:rsidP="00A33854">
            <w:pPr>
              <w:pStyle w:val="TAC"/>
              <w:rPr>
                <w:rFonts w:cs="Arial"/>
              </w:rPr>
            </w:pPr>
            <w:r w:rsidRPr="005D7A6F">
              <w:rPr>
                <w:rFonts w:cs="Arial"/>
              </w:rPr>
              <w:t xml:space="preserve">≤ </w:t>
            </w:r>
            <w:r w:rsidRPr="005D7A6F">
              <w:rPr>
                <w:rFonts w:cs="Arial" w:hint="eastAsia"/>
                <w:lang w:eastAsia="zh-CN"/>
              </w:rPr>
              <w:t>3</w:t>
            </w:r>
          </w:p>
        </w:tc>
      </w:tr>
      <w:tr w:rsidR="00DA11A8" w:rsidRPr="005D7A6F" w14:paraId="1BD8CBC6" w14:textId="77777777" w:rsidTr="00A33854">
        <w:tc>
          <w:tcPr>
            <w:tcW w:w="1417" w:type="dxa"/>
          </w:tcPr>
          <w:p w14:paraId="6520E824" w14:textId="77777777" w:rsidR="00DA11A8" w:rsidRPr="005D7A6F" w:rsidRDefault="00DA11A8" w:rsidP="00A33854">
            <w:pPr>
              <w:pStyle w:val="TAC"/>
              <w:rPr>
                <w:rFonts w:cs="Arial"/>
                <w:lang w:eastAsia="zh-CN"/>
              </w:rPr>
            </w:pPr>
            <w:r w:rsidRPr="005D7A6F">
              <w:rPr>
                <w:rFonts w:cs="Arial"/>
                <w:lang w:eastAsia="zh-CN"/>
              </w:rPr>
              <w:t>256 QAM</w:t>
            </w:r>
          </w:p>
        </w:tc>
        <w:tc>
          <w:tcPr>
            <w:tcW w:w="5659" w:type="dxa"/>
            <w:gridSpan w:val="6"/>
          </w:tcPr>
          <w:p w14:paraId="3A769BE6" w14:textId="77777777" w:rsidR="00DA11A8" w:rsidRPr="005D7A6F" w:rsidRDefault="00DA11A8" w:rsidP="00A33854">
            <w:pPr>
              <w:pStyle w:val="TAC"/>
              <w:rPr>
                <w:rFonts w:cs="Arial"/>
                <w:lang w:eastAsia="ko-KR"/>
              </w:rPr>
            </w:pPr>
            <w:r w:rsidRPr="005D7A6F">
              <w:rPr>
                <w:rFonts w:cs="Arial"/>
                <w:lang w:eastAsia="ko-KR"/>
              </w:rPr>
              <w:t>≥ 1</w:t>
            </w:r>
          </w:p>
        </w:tc>
        <w:tc>
          <w:tcPr>
            <w:tcW w:w="1134" w:type="dxa"/>
          </w:tcPr>
          <w:p w14:paraId="734792D4" w14:textId="77777777" w:rsidR="00DA11A8" w:rsidRPr="005D7A6F" w:rsidRDefault="00DA11A8" w:rsidP="00A33854">
            <w:pPr>
              <w:pStyle w:val="TAC"/>
              <w:rPr>
                <w:rFonts w:cs="Arial"/>
                <w:lang w:eastAsia="ko-KR"/>
              </w:rPr>
            </w:pPr>
            <w:r w:rsidRPr="005D7A6F">
              <w:rPr>
                <w:rFonts w:cs="Arial"/>
                <w:lang w:eastAsia="ko-KR"/>
              </w:rPr>
              <w:t xml:space="preserve">≤ </w:t>
            </w:r>
            <w:r w:rsidRPr="005D7A6F">
              <w:rPr>
                <w:rFonts w:cs="Arial" w:hint="eastAsia"/>
                <w:lang w:eastAsia="zh-CN"/>
              </w:rPr>
              <w:t>5</w:t>
            </w:r>
          </w:p>
        </w:tc>
      </w:tr>
    </w:tbl>
    <w:p w14:paraId="63A5893B" w14:textId="608E8FD2" w:rsidR="00DA11A8" w:rsidRDefault="00DA11A8" w:rsidP="00F275C3"/>
    <w:p w14:paraId="58306100" w14:textId="5177F560" w:rsidR="00DA11A8" w:rsidRDefault="00DA11A8" w:rsidP="00F275C3">
      <w:r>
        <w:t xml:space="preserve">In NR, the proposed </w:t>
      </w:r>
      <w:r w:rsidR="007612F8">
        <w:t>table format has RB allocations divided to outer and inner allocations: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168"/>
        <w:gridCol w:w="1951"/>
        <w:gridCol w:w="1984"/>
      </w:tblGrid>
      <w:tr w:rsidR="00DA11A8" w:rsidRPr="005D7A6F" w14:paraId="0C438D5F" w14:textId="77777777" w:rsidTr="007612F8">
        <w:trPr>
          <w:trHeight w:val="164"/>
        </w:trPr>
        <w:tc>
          <w:tcPr>
            <w:tcW w:w="2614" w:type="dxa"/>
            <w:gridSpan w:val="2"/>
          </w:tcPr>
          <w:p w14:paraId="6A244573" w14:textId="670AF07C" w:rsidR="00DA11A8" w:rsidRPr="005D7A6F" w:rsidRDefault="00DA11A8" w:rsidP="00A33854">
            <w:pPr>
              <w:pStyle w:val="TAH"/>
              <w:rPr>
                <w:rFonts w:cs="Arial"/>
              </w:rPr>
            </w:pPr>
            <w:r>
              <w:rPr>
                <w:rFonts w:cs="Arial"/>
              </w:rPr>
              <w:t>Allocation type</w:t>
            </w:r>
          </w:p>
        </w:tc>
        <w:tc>
          <w:tcPr>
            <w:tcW w:w="1951" w:type="dxa"/>
          </w:tcPr>
          <w:p w14:paraId="07F9A647" w14:textId="0C7A8796" w:rsidR="00DA11A8" w:rsidRPr="005D7A6F" w:rsidRDefault="00DA11A8" w:rsidP="00A33854">
            <w:pPr>
              <w:pStyle w:val="TAH"/>
              <w:rPr>
                <w:rFonts w:cs="Arial"/>
              </w:rPr>
            </w:pPr>
            <w:r>
              <w:rPr>
                <w:rFonts w:cs="Arial"/>
              </w:rPr>
              <w:t>Outer (max MPR)</w:t>
            </w:r>
          </w:p>
        </w:tc>
        <w:tc>
          <w:tcPr>
            <w:tcW w:w="1984" w:type="dxa"/>
          </w:tcPr>
          <w:p w14:paraId="54AE6984" w14:textId="67DF3849" w:rsidR="00DA11A8" w:rsidRPr="005D7A6F" w:rsidRDefault="00DA11A8" w:rsidP="00A33854">
            <w:pPr>
              <w:pStyle w:val="TAH"/>
              <w:rPr>
                <w:rFonts w:cs="Arial"/>
              </w:rPr>
            </w:pPr>
            <w:r>
              <w:rPr>
                <w:rFonts w:cs="Arial"/>
              </w:rPr>
              <w:t>Inner (min MPR)</w:t>
            </w:r>
          </w:p>
        </w:tc>
      </w:tr>
      <w:tr w:rsidR="00DA11A8" w:rsidRPr="005D7A6F" w14:paraId="29D0992B" w14:textId="77777777" w:rsidTr="007612F8">
        <w:tc>
          <w:tcPr>
            <w:tcW w:w="1446" w:type="dxa"/>
          </w:tcPr>
          <w:p w14:paraId="16932864" w14:textId="56AB4317" w:rsidR="00DA11A8" w:rsidRPr="005D7A6F" w:rsidRDefault="00DA11A8" w:rsidP="00A33854">
            <w:pPr>
              <w:pStyle w:val="TAC"/>
              <w:rPr>
                <w:rFonts w:cs="Arial"/>
              </w:rPr>
            </w:pPr>
          </w:p>
        </w:tc>
        <w:tc>
          <w:tcPr>
            <w:tcW w:w="1168" w:type="dxa"/>
          </w:tcPr>
          <w:p w14:paraId="2681501F" w14:textId="3C46F4AD" w:rsidR="00DA11A8" w:rsidRPr="005D7A6F" w:rsidRDefault="00DA11A8" w:rsidP="00A33854">
            <w:pPr>
              <w:pStyle w:val="TAC"/>
              <w:rPr>
                <w:rFonts w:cs="Arial"/>
              </w:rPr>
            </w:pPr>
            <w:r>
              <w:rPr>
                <w:rFonts w:cs="Arial"/>
              </w:rPr>
              <w:t>LCRB</w:t>
            </w:r>
            <w:r w:rsidRPr="005D7A6F">
              <w:rPr>
                <w:rFonts w:cs="Arial"/>
              </w:rPr>
              <w:t xml:space="preserve"> </w:t>
            </w:r>
          </w:p>
        </w:tc>
        <w:tc>
          <w:tcPr>
            <w:tcW w:w="1951" w:type="dxa"/>
          </w:tcPr>
          <w:p w14:paraId="49EB718B" w14:textId="0F609335" w:rsidR="00DA11A8" w:rsidRPr="005D7A6F" w:rsidRDefault="007612F8" w:rsidP="00A33854">
            <w:pPr>
              <w:pStyle w:val="TAC"/>
              <w:rPr>
                <w:rFonts w:cs="Arial"/>
              </w:rPr>
            </w:pPr>
            <w:r>
              <w:rPr>
                <w:rFonts w:cs="Arial"/>
              </w:rPr>
              <w:t>all</w:t>
            </w:r>
            <w:r w:rsidR="00DA11A8" w:rsidRPr="005D7A6F">
              <w:rPr>
                <w:rFonts w:cs="Arial"/>
              </w:rPr>
              <w:t xml:space="preserve"> </w:t>
            </w:r>
          </w:p>
        </w:tc>
        <w:tc>
          <w:tcPr>
            <w:tcW w:w="1984" w:type="dxa"/>
          </w:tcPr>
          <w:p w14:paraId="686FAD22" w14:textId="14327600" w:rsidR="00DA11A8" w:rsidRPr="005D7A6F" w:rsidRDefault="007612F8" w:rsidP="00A33854">
            <w:pPr>
              <w:pStyle w:val="TAC"/>
              <w:rPr>
                <w:rFonts w:cs="Arial"/>
              </w:rPr>
            </w:pPr>
            <w:r w:rsidRPr="00DA11A8">
              <w:rPr>
                <w:rFonts w:cs="Arial"/>
              </w:rPr>
              <w:t>≤LCRBmax/2</w:t>
            </w:r>
            <w:r w:rsidR="00DA11A8" w:rsidRPr="005D7A6F">
              <w:rPr>
                <w:rFonts w:cs="Arial"/>
              </w:rPr>
              <w:t xml:space="preserve"> </w:t>
            </w:r>
          </w:p>
        </w:tc>
      </w:tr>
      <w:tr w:rsidR="00DA11A8" w:rsidRPr="005D7A6F" w14:paraId="40F0F082" w14:textId="77777777" w:rsidTr="007612F8">
        <w:tc>
          <w:tcPr>
            <w:tcW w:w="1446" w:type="dxa"/>
          </w:tcPr>
          <w:p w14:paraId="4290D4EC" w14:textId="0339B661" w:rsidR="00DA11A8" w:rsidRPr="005D7A6F" w:rsidRDefault="00DA11A8" w:rsidP="00A33854">
            <w:pPr>
              <w:pStyle w:val="TAC"/>
              <w:rPr>
                <w:rFonts w:cs="Arial"/>
              </w:rPr>
            </w:pPr>
          </w:p>
        </w:tc>
        <w:tc>
          <w:tcPr>
            <w:tcW w:w="1168" w:type="dxa"/>
          </w:tcPr>
          <w:p w14:paraId="49453474" w14:textId="2CCD3184" w:rsidR="00DA11A8" w:rsidRPr="005D7A6F" w:rsidRDefault="00DA11A8" w:rsidP="00A33854">
            <w:pPr>
              <w:pStyle w:val="TAC"/>
              <w:rPr>
                <w:rFonts w:cs="Arial"/>
              </w:rPr>
            </w:pPr>
            <w:r>
              <w:rPr>
                <w:rFonts w:cs="Arial"/>
              </w:rPr>
              <w:t>RBstart</w:t>
            </w:r>
          </w:p>
        </w:tc>
        <w:tc>
          <w:tcPr>
            <w:tcW w:w="1951" w:type="dxa"/>
          </w:tcPr>
          <w:p w14:paraId="7EFA345B" w14:textId="5B8010F9" w:rsidR="00DA11A8" w:rsidRPr="005D7A6F" w:rsidRDefault="007612F8" w:rsidP="00A33854">
            <w:pPr>
              <w:pStyle w:val="TAC"/>
              <w:rPr>
                <w:rFonts w:cs="Arial"/>
              </w:rPr>
            </w:pPr>
            <w:r w:rsidRPr="00DA11A8">
              <w:rPr>
                <w:rFonts w:cs="Arial"/>
              </w:rPr>
              <w:t>&lt;LCRB/2 from edge</w:t>
            </w:r>
          </w:p>
        </w:tc>
        <w:tc>
          <w:tcPr>
            <w:tcW w:w="1984" w:type="dxa"/>
          </w:tcPr>
          <w:p w14:paraId="5FB78EAD" w14:textId="7A4BA2C5" w:rsidR="00DA11A8" w:rsidRPr="005D7A6F" w:rsidRDefault="007612F8" w:rsidP="00A33854">
            <w:pPr>
              <w:pStyle w:val="TAC"/>
              <w:rPr>
                <w:rFonts w:cs="Arial"/>
              </w:rPr>
            </w:pPr>
            <w:r w:rsidRPr="00DA11A8">
              <w:rPr>
                <w:rFonts w:cs="Arial"/>
              </w:rPr>
              <w:t>≥LCRB/2 from edge</w:t>
            </w:r>
          </w:p>
        </w:tc>
      </w:tr>
      <w:tr w:rsidR="007612F8" w:rsidRPr="005D7A6F" w14:paraId="33C66401" w14:textId="77777777" w:rsidTr="00AA46B3">
        <w:tc>
          <w:tcPr>
            <w:tcW w:w="1446" w:type="dxa"/>
          </w:tcPr>
          <w:p w14:paraId="764782E4" w14:textId="66FB175A" w:rsidR="007612F8" w:rsidRPr="005D7A6F" w:rsidRDefault="007612F8" w:rsidP="00A33854">
            <w:pPr>
              <w:pStyle w:val="TAC"/>
              <w:rPr>
                <w:rFonts w:cs="Arial"/>
              </w:rPr>
            </w:pPr>
            <w:r>
              <w:rPr>
                <w:rFonts w:cs="Arial"/>
              </w:rPr>
              <w:t>Waveform type</w:t>
            </w:r>
          </w:p>
        </w:tc>
        <w:tc>
          <w:tcPr>
            <w:tcW w:w="1168" w:type="dxa"/>
          </w:tcPr>
          <w:p w14:paraId="30755299" w14:textId="6C6E8CA5" w:rsidR="007612F8" w:rsidRPr="005D7A6F" w:rsidRDefault="007612F8" w:rsidP="00A33854">
            <w:pPr>
              <w:pStyle w:val="TAC"/>
              <w:rPr>
                <w:rFonts w:cs="Arial"/>
              </w:rPr>
            </w:pPr>
            <w:r>
              <w:rPr>
                <w:rFonts w:cs="Arial"/>
              </w:rPr>
              <w:t>Modulation</w:t>
            </w:r>
          </w:p>
        </w:tc>
        <w:tc>
          <w:tcPr>
            <w:tcW w:w="3935" w:type="dxa"/>
            <w:gridSpan w:val="2"/>
          </w:tcPr>
          <w:p w14:paraId="1EE8E6ED" w14:textId="7E454E27" w:rsidR="007612F8" w:rsidRPr="005D7A6F" w:rsidRDefault="007612F8" w:rsidP="00A33854">
            <w:pPr>
              <w:pStyle w:val="TAC"/>
              <w:rPr>
                <w:rFonts w:cs="Arial"/>
              </w:rPr>
            </w:pPr>
            <w:r>
              <w:rPr>
                <w:rFonts w:cs="Arial"/>
              </w:rPr>
              <w:t>MPR for all BW and SCS</w:t>
            </w:r>
          </w:p>
        </w:tc>
      </w:tr>
      <w:tr w:rsidR="007612F8" w:rsidRPr="005D7A6F" w14:paraId="5F5938CB" w14:textId="77777777" w:rsidTr="007612F8">
        <w:tc>
          <w:tcPr>
            <w:tcW w:w="1446" w:type="dxa"/>
            <w:vMerge w:val="restart"/>
          </w:tcPr>
          <w:p w14:paraId="5CF75301" w14:textId="6D2F9D1D" w:rsidR="007612F8" w:rsidRPr="005D7A6F" w:rsidRDefault="007612F8" w:rsidP="00A33854">
            <w:pPr>
              <w:pStyle w:val="TAC"/>
              <w:rPr>
                <w:rFonts w:cs="Arial"/>
              </w:rPr>
            </w:pPr>
            <w:r>
              <w:rPr>
                <w:rFonts w:cs="Arial"/>
                <w:lang w:eastAsia="zh-CN"/>
              </w:rPr>
              <w:t>DFT-s-OFDM</w:t>
            </w:r>
          </w:p>
        </w:tc>
        <w:tc>
          <w:tcPr>
            <w:tcW w:w="1168" w:type="dxa"/>
          </w:tcPr>
          <w:p w14:paraId="173822A2" w14:textId="3512D4A5" w:rsidR="007612F8" w:rsidRPr="005D7A6F" w:rsidRDefault="007612F8" w:rsidP="00A33854">
            <w:pPr>
              <w:pStyle w:val="TAC"/>
              <w:rPr>
                <w:rFonts w:cs="Arial"/>
              </w:rPr>
            </w:pPr>
            <w:r>
              <w:rPr>
                <w:rFonts w:cs="Arial"/>
              </w:rPr>
              <w:t>pi/2 BPSK</w:t>
            </w:r>
            <w:r w:rsidRPr="005D7A6F">
              <w:rPr>
                <w:rFonts w:cs="Arial"/>
              </w:rPr>
              <w:t xml:space="preserve"> </w:t>
            </w:r>
          </w:p>
        </w:tc>
        <w:tc>
          <w:tcPr>
            <w:tcW w:w="1951" w:type="dxa"/>
          </w:tcPr>
          <w:p w14:paraId="5F956F73" w14:textId="21A67FFF" w:rsidR="007612F8" w:rsidRPr="005D7A6F" w:rsidRDefault="007612F8" w:rsidP="00A33854">
            <w:pPr>
              <w:pStyle w:val="TAC"/>
              <w:rPr>
                <w:rFonts w:cs="Arial"/>
              </w:rPr>
            </w:pPr>
          </w:p>
        </w:tc>
        <w:tc>
          <w:tcPr>
            <w:tcW w:w="1984" w:type="dxa"/>
          </w:tcPr>
          <w:p w14:paraId="02E17D60" w14:textId="1357F095" w:rsidR="007612F8" w:rsidRPr="005D7A6F" w:rsidRDefault="007612F8" w:rsidP="00A33854">
            <w:pPr>
              <w:pStyle w:val="TAC"/>
              <w:rPr>
                <w:rFonts w:cs="Arial"/>
              </w:rPr>
            </w:pPr>
          </w:p>
        </w:tc>
      </w:tr>
      <w:tr w:rsidR="007612F8" w:rsidRPr="005D7A6F" w14:paraId="0290AFC8" w14:textId="77777777" w:rsidTr="007612F8">
        <w:tc>
          <w:tcPr>
            <w:tcW w:w="1446" w:type="dxa"/>
            <w:vMerge/>
          </w:tcPr>
          <w:p w14:paraId="7CE4B8B5" w14:textId="3A41E1E4" w:rsidR="007612F8" w:rsidRPr="005D7A6F" w:rsidRDefault="007612F8" w:rsidP="00A33854">
            <w:pPr>
              <w:pStyle w:val="TAC"/>
              <w:rPr>
                <w:rFonts w:cs="Arial"/>
              </w:rPr>
            </w:pPr>
          </w:p>
        </w:tc>
        <w:tc>
          <w:tcPr>
            <w:tcW w:w="1168" w:type="dxa"/>
          </w:tcPr>
          <w:p w14:paraId="6D8EE658" w14:textId="27B912F0" w:rsidR="007612F8" w:rsidRPr="005D7A6F" w:rsidRDefault="007612F8" w:rsidP="00A33854">
            <w:pPr>
              <w:pStyle w:val="TAC"/>
              <w:rPr>
                <w:rFonts w:cs="Arial"/>
              </w:rPr>
            </w:pPr>
            <w:r>
              <w:rPr>
                <w:rFonts w:cs="Arial"/>
              </w:rPr>
              <w:t>QPSK</w:t>
            </w:r>
          </w:p>
        </w:tc>
        <w:tc>
          <w:tcPr>
            <w:tcW w:w="1951" w:type="dxa"/>
          </w:tcPr>
          <w:p w14:paraId="1E27C212" w14:textId="2358739C" w:rsidR="007612F8" w:rsidRPr="005D7A6F" w:rsidRDefault="007612F8" w:rsidP="00A33854">
            <w:pPr>
              <w:pStyle w:val="TAC"/>
              <w:rPr>
                <w:rFonts w:cs="Arial"/>
              </w:rPr>
            </w:pPr>
          </w:p>
        </w:tc>
        <w:tc>
          <w:tcPr>
            <w:tcW w:w="1984" w:type="dxa"/>
          </w:tcPr>
          <w:p w14:paraId="764CE901" w14:textId="2FB52D7E" w:rsidR="007612F8" w:rsidRPr="005D7A6F" w:rsidRDefault="007612F8" w:rsidP="00A33854">
            <w:pPr>
              <w:pStyle w:val="TAC"/>
              <w:rPr>
                <w:rFonts w:cs="Arial"/>
              </w:rPr>
            </w:pPr>
          </w:p>
        </w:tc>
      </w:tr>
      <w:tr w:rsidR="007612F8" w:rsidRPr="005D7A6F" w14:paraId="3E6621AB" w14:textId="77777777" w:rsidTr="007612F8">
        <w:tc>
          <w:tcPr>
            <w:tcW w:w="1446" w:type="dxa"/>
            <w:vMerge/>
          </w:tcPr>
          <w:p w14:paraId="699157CF" w14:textId="77777777" w:rsidR="007612F8" w:rsidRPr="005D7A6F" w:rsidRDefault="007612F8" w:rsidP="00A33854">
            <w:pPr>
              <w:pStyle w:val="TAC"/>
              <w:rPr>
                <w:rFonts w:cs="Arial"/>
                <w:lang w:eastAsia="zh-CN"/>
              </w:rPr>
            </w:pPr>
          </w:p>
        </w:tc>
        <w:tc>
          <w:tcPr>
            <w:tcW w:w="1168" w:type="dxa"/>
          </w:tcPr>
          <w:p w14:paraId="07E28163" w14:textId="2E7496E2" w:rsidR="007612F8" w:rsidRPr="005D7A6F" w:rsidRDefault="007612F8" w:rsidP="00A33854">
            <w:pPr>
              <w:pStyle w:val="TAC"/>
              <w:rPr>
                <w:rFonts w:cs="Arial"/>
              </w:rPr>
            </w:pPr>
            <w:r>
              <w:rPr>
                <w:rFonts w:cs="Arial"/>
              </w:rPr>
              <w:t>16 QAM</w:t>
            </w:r>
          </w:p>
        </w:tc>
        <w:tc>
          <w:tcPr>
            <w:tcW w:w="1951" w:type="dxa"/>
          </w:tcPr>
          <w:p w14:paraId="178A56A2" w14:textId="77777777" w:rsidR="007612F8" w:rsidRPr="005D7A6F" w:rsidRDefault="007612F8" w:rsidP="00A33854">
            <w:pPr>
              <w:pStyle w:val="TAC"/>
              <w:rPr>
                <w:rFonts w:cs="Arial"/>
              </w:rPr>
            </w:pPr>
          </w:p>
        </w:tc>
        <w:tc>
          <w:tcPr>
            <w:tcW w:w="1984" w:type="dxa"/>
          </w:tcPr>
          <w:p w14:paraId="312A4A03" w14:textId="77777777" w:rsidR="007612F8" w:rsidRPr="005D7A6F" w:rsidRDefault="007612F8" w:rsidP="00A33854">
            <w:pPr>
              <w:pStyle w:val="TAC"/>
              <w:rPr>
                <w:rFonts w:cs="Arial"/>
              </w:rPr>
            </w:pPr>
          </w:p>
        </w:tc>
      </w:tr>
      <w:tr w:rsidR="007612F8" w:rsidRPr="005D7A6F" w14:paraId="291BE8CD" w14:textId="77777777" w:rsidTr="00910593">
        <w:tc>
          <w:tcPr>
            <w:tcW w:w="1446" w:type="dxa"/>
            <w:vMerge/>
          </w:tcPr>
          <w:p w14:paraId="699BB2A1" w14:textId="77777777" w:rsidR="007612F8" w:rsidRPr="005D7A6F" w:rsidRDefault="007612F8" w:rsidP="00A33854">
            <w:pPr>
              <w:pStyle w:val="TAC"/>
              <w:rPr>
                <w:rFonts w:cs="Arial"/>
                <w:lang w:eastAsia="zh-CN"/>
              </w:rPr>
            </w:pPr>
          </w:p>
        </w:tc>
        <w:tc>
          <w:tcPr>
            <w:tcW w:w="1168" w:type="dxa"/>
          </w:tcPr>
          <w:p w14:paraId="1520B8DC" w14:textId="49CD26E1" w:rsidR="007612F8" w:rsidRPr="005D7A6F" w:rsidRDefault="007612F8" w:rsidP="00A33854">
            <w:pPr>
              <w:pStyle w:val="TAC"/>
              <w:rPr>
                <w:rFonts w:cs="Arial"/>
              </w:rPr>
            </w:pPr>
            <w:r>
              <w:rPr>
                <w:rFonts w:cs="Arial"/>
              </w:rPr>
              <w:t>64 QAM</w:t>
            </w:r>
          </w:p>
        </w:tc>
        <w:tc>
          <w:tcPr>
            <w:tcW w:w="3935" w:type="dxa"/>
            <w:gridSpan w:val="2"/>
          </w:tcPr>
          <w:p w14:paraId="4BD0ECDE" w14:textId="77777777" w:rsidR="007612F8" w:rsidRPr="005D7A6F" w:rsidRDefault="007612F8" w:rsidP="00A33854">
            <w:pPr>
              <w:pStyle w:val="TAC"/>
              <w:rPr>
                <w:rFonts w:cs="Arial"/>
              </w:rPr>
            </w:pPr>
          </w:p>
        </w:tc>
      </w:tr>
      <w:tr w:rsidR="007612F8" w:rsidRPr="005D7A6F" w14:paraId="22851560" w14:textId="77777777" w:rsidTr="00CB0F64">
        <w:tc>
          <w:tcPr>
            <w:tcW w:w="1446" w:type="dxa"/>
            <w:vMerge/>
          </w:tcPr>
          <w:p w14:paraId="540D0E89" w14:textId="77777777" w:rsidR="007612F8" w:rsidRPr="005D7A6F" w:rsidRDefault="007612F8" w:rsidP="00A33854">
            <w:pPr>
              <w:pStyle w:val="TAC"/>
              <w:rPr>
                <w:rFonts w:cs="Arial"/>
                <w:lang w:eastAsia="zh-CN"/>
              </w:rPr>
            </w:pPr>
          </w:p>
        </w:tc>
        <w:tc>
          <w:tcPr>
            <w:tcW w:w="1168" w:type="dxa"/>
          </w:tcPr>
          <w:p w14:paraId="13F390A3" w14:textId="2BF9F9BA" w:rsidR="007612F8" w:rsidRDefault="007612F8" w:rsidP="00A33854">
            <w:pPr>
              <w:pStyle w:val="TAC"/>
              <w:rPr>
                <w:rFonts w:cs="Arial"/>
              </w:rPr>
            </w:pPr>
            <w:r>
              <w:rPr>
                <w:rFonts w:cs="Arial"/>
              </w:rPr>
              <w:t>256 QAM</w:t>
            </w:r>
          </w:p>
        </w:tc>
        <w:tc>
          <w:tcPr>
            <w:tcW w:w="3935" w:type="dxa"/>
            <w:gridSpan w:val="2"/>
          </w:tcPr>
          <w:p w14:paraId="688DC9D6" w14:textId="77777777" w:rsidR="007612F8" w:rsidRPr="005D7A6F" w:rsidRDefault="007612F8" w:rsidP="00A33854">
            <w:pPr>
              <w:pStyle w:val="TAC"/>
              <w:rPr>
                <w:rFonts w:cs="Arial"/>
              </w:rPr>
            </w:pPr>
          </w:p>
        </w:tc>
      </w:tr>
      <w:tr w:rsidR="007612F8" w:rsidRPr="005D7A6F" w14:paraId="56E037CB" w14:textId="77777777" w:rsidTr="007612F8">
        <w:tc>
          <w:tcPr>
            <w:tcW w:w="1446" w:type="dxa"/>
            <w:vMerge w:val="restart"/>
          </w:tcPr>
          <w:p w14:paraId="667758EC" w14:textId="2B52E487" w:rsidR="007612F8" w:rsidRPr="005D7A6F" w:rsidRDefault="007612F8" w:rsidP="00A33854">
            <w:pPr>
              <w:pStyle w:val="TAC"/>
              <w:rPr>
                <w:rFonts w:cs="Arial"/>
                <w:lang w:eastAsia="zh-CN"/>
              </w:rPr>
            </w:pPr>
            <w:r>
              <w:rPr>
                <w:rFonts w:cs="Arial"/>
                <w:lang w:eastAsia="zh-CN"/>
              </w:rPr>
              <w:t>CP-OFDM</w:t>
            </w:r>
          </w:p>
        </w:tc>
        <w:tc>
          <w:tcPr>
            <w:tcW w:w="1168" w:type="dxa"/>
          </w:tcPr>
          <w:p w14:paraId="0B9B3DBD" w14:textId="5F382285" w:rsidR="007612F8" w:rsidRDefault="007612F8" w:rsidP="00A33854">
            <w:pPr>
              <w:pStyle w:val="TAC"/>
              <w:rPr>
                <w:rFonts w:cs="Arial"/>
              </w:rPr>
            </w:pPr>
            <w:r>
              <w:rPr>
                <w:rFonts w:cs="Arial"/>
              </w:rPr>
              <w:t>QPSK</w:t>
            </w:r>
          </w:p>
        </w:tc>
        <w:tc>
          <w:tcPr>
            <w:tcW w:w="1951" w:type="dxa"/>
          </w:tcPr>
          <w:p w14:paraId="5D9C33A1" w14:textId="77777777" w:rsidR="007612F8" w:rsidRPr="005D7A6F" w:rsidRDefault="007612F8" w:rsidP="00A33854">
            <w:pPr>
              <w:pStyle w:val="TAC"/>
              <w:rPr>
                <w:rFonts w:cs="Arial"/>
              </w:rPr>
            </w:pPr>
          </w:p>
        </w:tc>
        <w:tc>
          <w:tcPr>
            <w:tcW w:w="1984" w:type="dxa"/>
          </w:tcPr>
          <w:p w14:paraId="4C759BA0" w14:textId="77777777" w:rsidR="007612F8" w:rsidRPr="005D7A6F" w:rsidRDefault="007612F8" w:rsidP="00A33854">
            <w:pPr>
              <w:pStyle w:val="TAC"/>
              <w:rPr>
                <w:rFonts w:cs="Arial"/>
              </w:rPr>
            </w:pPr>
          </w:p>
        </w:tc>
      </w:tr>
      <w:tr w:rsidR="007612F8" w:rsidRPr="005D7A6F" w14:paraId="4146A171" w14:textId="77777777" w:rsidTr="007612F8">
        <w:tc>
          <w:tcPr>
            <w:tcW w:w="1446" w:type="dxa"/>
            <w:vMerge/>
          </w:tcPr>
          <w:p w14:paraId="29AD72BA" w14:textId="77777777" w:rsidR="007612F8" w:rsidRDefault="007612F8" w:rsidP="00A33854">
            <w:pPr>
              <w:pStyle w:val="TAC"/>
              <w:rPr>
                <w:rFonts w:cs="Arial"/>
                <w:lang w:eastAsia="zh-CN"/>
              </w:rPr>
            </w:pPr>
          </w:p>
        </w:tc>
        <w:tc>
          <w:tcPr>
            <w:tcW w:w="1168" w:type="dxa"/>
          </w:tcPr>
          <w:p w14:paraId="7E171671" w14:textId="1B5C9A52" w:rsidR="007612F8" w:rsidRDefault="007612F8" w:rsidP="00A33854">
            <w:pPr>
              <w:pStyle w:val="TAC"/>
              <w:rPr>
                <w:rFonts w:cs="Arial"/>
              </w:rPr>
            </w:pPr>
            <w:r>
              <w:rPr>
                <w:rFonts w:cs="Arial"/>
              </w:rPr>
              <w:t>16 QAM</w:t>
            </w:r>
          </w:p>
        </w:tc>
        <w:tc>
          <w:tcPr>
            <w:tcW w:w="1951" w:type="dxa"/>
          </w:tcPr>
          <w:p w14:paraId="56C4FB30" w14:textId="77777777" w:rsidR="007612F8" w:rsidRPr="005D7A6F" w:rsidRDefault="007612F8" w:rsidP="00A33854">
            <w:pPr>
              <w:pStyle w:val="TAC"/>
              <w:rPr>
                <w:rFonts w:cs="Arial"/>
              </w:rPr>
            </w:pPr>
          </w:p>
        </w:tc>
        <w:tc>
          <w:tcPr>
            <w:tcW w:w="1984" w:type="dxa"/>
          </w:tcPr>
          <w:p w14:paraId="5DE5504E" w14:textId="77777777" w:rsidR="007612F8" w:rsidRPr="005D7A6F" w:rsidRDefault="007612F8" w:rsidP="00A33854">
            <w:pPr>
              <w:pStyle w:val="TAC"/>
              <w:rPr>
                <w:rFonts w:cs="Arial"/>
              </w:rPr>
            </w:pPr>
          </w:p>
        </w:tc>
      </w:tr>
      <w:tr w:rsidR="007612F8" w:rsidRPr="005D7A6F" w14:paraId="09B7ED15" w14:textId="77777777" w:rsidTr="00B459B0">
        <w:tc>
          <w:tcPr>
            <w:tcW w:w="1446" w:type="dxa"/>
            <w:vMerge/>
          </w:tcPr>
          <w:p w14:paraId="6AC92360" w14:textId="77777777" w:rsidR="007612F8" w:rsidRDefault="007612F8" w:rsidP="00A33854">
            <w:pPr>
              <w:pStyle w:val="TAC"/>
              <w:rPr>
                <w:rFonts w:cs="Arial"/>
                <w:lang w:eastAsia="zh-CN"/>
              </w:rPr>
            </w:pPr>
          </w:p>
        </w:tc>
        <w:tc>
          <w:tcPr>
            <w:tcW w:w="1168" w:type="dxa"/>
          </w:tcPr>
          <w:p w14:paraId="415F0459" w14:textId="2F918493" w:rsidR="007612F8" w:rsidRDefault="007612F8" w:rsidP="00A33854">
            <w:pPr>
              <w:pStyle w:val="TAC"/>
              <w:rPr>
                <w:rFonts w:cs="Arial"/>
              </w:rPr>
            </w:pPr>
            <w:r>
              <w:rPr>
                <w:rFonts w:cs="Arial"/>
              </w:rPr>
              <w:t>64 QAM</w:t>
            </w:r>
          </w:p>
        </w:tc>
        <w:tc>
          <w:tcPr>
            <w:tcW w:w="3935" w:type="dxa"/>
            <w:gridSpan w:val="2"/>
          </w:tcPr>
          <w:p w14:paraId="4CEBB628" w14:textId="77777777" w:rsidR="007612F8" w:rsidRPr="005D7A6F" w:rsidRDefault="007612F8" w:rsidP="00A33854">
            <w:pPr>
              <w:pStyle w:val="TAC"/>
              <w:rPr>
                <w:rFonts w:cs="Arial"/>
              </w:rPr>
            </w:pPr>
          </w:p>
        </w:tc>
      </w:tr>
      <w:tr w:rsidR="007612F8" w:rsidRPr="005D7A6F" w14:paraId="07BD32F5" w14:textId="77777777" w:rsidTr="00503535">
        <w:tc>
          <w:tcPr>
            <w:tcW w:w="1446" w:type="dxa"/>
            <w:vMerge/>
          </w:tcPr>
          <w:p w14:paraId="2DA812B6" w14:textId="77777777" w:rsidR="007612F8" w:rsidRDefault="007612F8" w:rsidP="00A33854">
            <w:pPr>
              <w:pStyle w:val="TAC"/>
              <w:rPr>
                <w:rFonts w:cs="Arial"/>
                <w:lang w:eastAsia="zh-CN"/>
              </w:rPr>
            </w:pPr>
          </w:p>
        </w:tc>
        <w:tc>
          <w:tcPr>
            <w:tcW w:w="1168" w:type="dxa"/>
          </w:tcPr>
          <w:p w14:paraId="23E2A90F" w14:textId="6B3D6A0D" w:rsidR="007612F8" w:rsidRDefault="007612F8" w:rsidP="00A33854">
            <w:pPr>
              <w:pStyle w:val="TAC"/>
              <w:rPr>
                <w:rFonts w:cs="Arial"/>
              </w:rPr>
            </w:pPr>
            <w:r>
              <w:rPr>
                <w:rFonts w:cs="Arial"/>
              </w:rPr>
              <w:t>256 QAM</w:t>
            </w:r>
          </w:p>
        </w:tc>
        <w:tc>
          <w:tcPr>
            <w:tcW w:w="3935" w:type="dxa"/>
            <w:gridSpan w:val="2"/>
          </w:tcPr>
          <w:p w14:paraId="45C3E88D" w14:textId="77777777" w:rsidR="007612F8" w:rsidRPr="005D7A6F" w:rsidRDefault="007612F8" w:rsidP="00A33854">
            <w:pPr>
              <w:pStyle w:val="TAC"/>
              <w:rPr>
                <w:rFonts w:cs="Arial"/>
              </w:rPr>
            </w:pPr>
          </w:p>
        </w:tc>
      </w:tr>
    </w:tbl>
    <w:p w14:paraId="2C0832A9" w14:textId="518C3777" w:rsidR="00DA11A8" w:rsidRDefault="00DA11A8" w:rsidP="00F275C3"/>
    <w:p w14:paraId="0B38A14E" w14:textId="5D41C7CC" w:rsidR="00DA11A8" w:rsidRDefault="0091622E" w:rsidP="00F275C3">
      <w:r>
        <w:t>Illustrated in an MPR triangle, the tables look like (example for 5 MHz channel bandwidth with 25 RBs):</w:t>
      </w:r>
    </w:p>
    <w:p w14:paraId="0D4C56C3" w14:textId="77777777" w:rsidR="0091622E" w:rsidRDefault="0091622E" w:rsidP="007C01CD">
      <w:pPr>
        <w:ind w:left="-567" w:right="-851"/>
      </w:pPr>
      <w:r>
        <w:rPr>
          <w:noProof/>
        </w:rPr>
        <w:lastRenderedPageBreak/>
        <w:drawing>
          <wp:inline distT="0" distB="0" distL="0" distR="0" wp14:anchorId="765AFF7B" wp14:editId="09EA8722">
            <wp:extent cx="3452400" cy="2584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r_zones_lte.png"/>
                    <pic:cNvPicPr/>
                  </pic:nvPicPr>
                  <pic:blipFill>
                    <a:blip r:embed="rId7">
                      <a:extLst>
                        <a:ext uri="{28A0092B-C50C-407E-A947-70E740481C1C}">
                          <a14:useLocalDpi xmlns:a14="http://schemas.microsoft.com/office/drawing/2010/main" val="0"/>
                        </a:ext>
                      </a:extLst>
                    </a:blip>
                    <a:stretch>
                      <a:fillRect/>
                    </a:stretch>
                  </pic:blipFill>
                  <pic:spPr>
                    <a:xfrm>
                      <a:off x="0" y="0"/>
                      <a:ext cx="3452400" cy="2584800"/>
                    </a:xfrm>
                    <a:prstGeom prst="rect">
                      <a:avLst/>
                    </a:prstGeom>
                  </pic:spPr>
                </pic:pic>
              </a:graphicData>
            </a:graphic>
          </wp:inline>
        </w:drawing>
      </w:r>
      <w:r>
        <w:rPr>
          <w:noProof/>
        </w:rPr>
        <w:drawing>
          <wp:inline distT="0" distB="0" distL="0" distR="0" wp14:anchorId="3369D50C" wp14:editId="054ED123">
            <wp:extent cx="3452400" cy="25848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r_zones_nr.png"/>
                    <pic:cNvPicPr/>
                  </pic:nvPicPr>
                  <pic:blipFill>
                    <a:blip r:embed="rId8">
                      <a:extLst>
                        <a:ext uri="{28A0092B-C50C-407E-A947-70E740481C1C}">
                          <a14:useLocalDpi xmlns:a14="http://schemas.microsoft.com/office/drawing/2010/main" val="0"/>
                        </a:ext>
                      </a:extLst>
                    </a:blip>
                    <a:stretch>
                      <a:fillRect/>
                    </a:stretch>
                  </pic:blipFill>
                  <pic:spPr>
                    <a:xfrm>
                      <a:off x="0" y="0"/>
                      <a:ext cx="3452400" cy="2584800"/>
                    </a:xfrm>
                    <a:prstGeom prst="rect">
                      <a:avLst/>
                    </a:prstGeom>
                  </pic:spPr>
                </pic:pic>
              </a:graphicData>
            </a:graphic>
          </wp:inline>
        </w:drawing>
      </w:r>
    </w:p>
    <w:p w14:paraId="5220F9CC" w14:textId="37125189" w:rsidR="00DA11A8" w:rsidRPr="0091622E" w:rsidRDefault="0091622E" w:rsidP="0091622E">
      <w:pPr>
        <w:jc w:val="center"/>
        <w:rPr>
          <w:b/>
        </w:rPr>
      </w:pPr>
      <w:r>
        <w:rPr>
          <w:b/>
        </w:rPr>
        <w:t>Figure 1: MPR allocation “zones” in LTE (left) and proposed for NR (right)</w:t>
      </w:r>
    </w:p>
    <w:p w14:paraId="5FB5497C" w14:textId="698E2BBA" w:rsidR="0054323C" w:rsidRDefault="0091622E" w:rsidP="00F275C3">
      <w:r>
        <w:t xml:space="preserve">When the base station scheduler allocates PUSCH resources for different UEs in LTE, all RBs are “equal” and only the allocation size needs to be considered. The UE’s power headroom report </w:t>
      </w:r>
      <w:r w:rsidR="00E04721">
        <w:t xml:space="preserve">(PHR) </w:t>
      </w:r>
      <w:r>
        <w:t xml:space="preserve">determines how many RBs may </w:t>
      </w:r>
      <w:r w:rsidR="00E04721">
        <w:t>be scheduled and at which power, and the scheduler knows based on a single RB size threshold, if MPR will be applied or not.</w:t>
      </w:r>
      <w:r w:rsidR="0054323C">
        <w:t xml:space="preserve"> MPR based on allocation size (and modulation) should be taken into account in the SINR/MCS evaluation.</w:t>
      </w:r>
    </w:p>
    <w:p w14:paraId="35810014" w14:textId="22559A95" w:rsidR="0091622E" w:rsidRDefault="0091622E" w:rsidP="00F275C3">
      <w:r>
        <w:t xml:space="preserve">In NR, the scheduler would have to consider also the allocation position inside the channel. For instance, if the </w:t>
      </w:r>
      <w:r w:rsidR="00E04721">
        <w:t>desired allocation size is 12 RBs in the 5 MHz example case, only the start indices 6 and 7 can be considered at the smaller MPR, and all other</w:t>
      </w:r>
      <w:r w:rsidR="00C0323D">
        <w:t xml:space="preserve"> start</w:t>
      </w:r>
      <w:r w:rsidR="00E04721">
        <w:t xml:space="preserve"> indices apply the larger MPR.</w:t>
      </w:r>
      <w:r w:rsidR="007C01CD">
        <w:t xml:space="preserve"> The MPR change between zones can be rather large, e.g. </w:t>
      </w:r>
      <w:r w:rsidR="00BD6BED">
        <w:t>2-</w:t>
      </w:r>
      <w:r w:rsidR="007C01CD">
        <w:t>3 dB.</w:t>
      </w:r>
    </w:p>
    <w:p w14:paraId="6EC29FF5" w14:textId="01FC51A9" w:rsidR="00E04721" w:rsidRDefault="00550233" w:rsidP="00E04721">
      <w:r>
        <w:t>The m</w:t>
      </w:r>
      <w:r w:rsidR="00E04721">
        <w:t xml:space="preserve">aximum </w:t>
      </w:r>
      <w:r>
        <w:t xml:space="preserve">transmit </w:t>
      </w:r>
      <w:r w:rsidR="00E04721">
        <w:t xml:space="preserve">power would be only needed by UEs that are more distant from the </w:t>
      </w:r>
      <w:r>
        <w:t xml:space="preserve">base station. </w:t>
      </w:r>
      <w:r w:rsidR="0054323C">
        <w:t>T</w:t>
      </w:r>
      <w:r w:rsidR="00E04721">
        <w:t>he best scheduling framework would then</w:t>
      </w:r>
      <w:r w:rsidR="0054323C">
        <w:t xml:space="preserve"> be</w:t>
      </w:r>
      <w:r w:rsidR="00E04721">
        <w:t xml:space="preserve"> to concentrate the UEs that use their full power to the inner RBs while scheduling UEs close to the </w:t>
      </w:r>
      <w:r w:rsidR="0054323C">
        <w:t>base station</w:t>
      </w:r>
      <w:r w:rsidR="00E04721">
        <w:t xml:space="preserve"> on the outer </w:t>
      </w:r>
      <w:r w:rsidR="0054323C">
        <w:t>RBs.</w:t>
      </w:r>
    </w:p>
    <w:p w14:paraId="3B7F605B" w14:textId="02DA3464" w:rsidR="00E04721" w:rsidRDefault="00E04721" w:rsidP="00E04721">
      <w:r>
        <w:t xml:space="preserve">Normally </w:t>
      </w:r>
      <w:r w:rsidR="0054323C">
        <w:t>an LTE scheduler</w:t>
      </w:r>
      <w:r>
        <w:t xml:space="preserve"> allocate</w:t>
      </w:r>
      <w:r w:rsidR="0054323C">
        <w:t>s</w:t>
      </w:r>
      <w:r>
        <w:t xml:space="preserve"> RB by RB to the </w:t>
      </w:r>
      <w:r w:rsidR="0054323C">
        <w:t>UE</w:t>
      </w:r>
      <w:r>
        <w:t>s</w:t>
      </w:r>
      <w:r w:rsidR="0054323C">
        <w:t>,</w:t>
      </w:r>
      <w:r>
        <w:t xml:space="preserve"> but with </w:t>
      </w:r>
      <w:r w:rsidR="0054323C">
        <w:t>the proposed MPR</w:t>
      </w:r>
      <w:r>
        <w:t xml:space="preserve"> approach </w:t>
      </w:r>
      <w:r w:rsidR="0054323C">
        <w:t>the NR scheduler</w:t>
      </w:r>
      <w:r>
        <w:t xml:space="preserve"> need</w:t>
      </w:r>
      <w:r w:rsidR="0054323C">
        <w:t>s</w:t>
      </w:r>
      <w:r>
        <w:t xml:space="preserve"> to check with the </w:t>
      </w:r>
      <w:r w:rsidR="006426BE">
        <w:t xml:space="preserve">new RB </w:t>
      </w:r>
      <w:r>
        <w:t>allocation whether the MPR would change</w:t>
      </w:r>
      <w:r w:rsidR="00252279">
        <w:t xml:space="preserve"> due to moving from </w:t>
      </w:r>
      <w:r w:rsidR="00BD6BED">
        <w:t>t</w:t>
      </w:r>
      <w:r w:rsidR="00252279">
        <w:t>he inner zone to the outer</w:t>
      </w:r>
      <w:r w:rsidR="006426BE">
        <w:t>,</w:t>
      </w:r>
      <w:r>
        <w:t xml:space="preserve"> and what impact this would have on SINR/MCS.</w:t>
      </w:r>
      <w:r w:rsidR="006426BE">
        <w:t xml:space="preserve"> The scheduler</w:t>
      </w:r>
      <w:r>
        <w:t xml:space="preserve"> could end up in a situation </w:t>
      </w:r>
      <w:r w:rsidR="006426BE">
        <w:t>where it</w:t>
      </w:r>
      <w:r>
        <w:t xml:space="preserve"> allocate</w:t>
      </w:r>
      <w:r w:rsidR="006426BE">
        <w:t>s</w:t>
      </w:r>
      <w:r>
        <w:t xml:space="preserve"> more RBs </w:t>
      </w:r>
      <w:r w:rsidR="006426BE">
        <w:t xml:space="preserve">to a UE </w:t>
      </w:r>
      <w:r>
        <w:t xml:space="preserve">but the throughput will </w:t>
      </w:r>
      <w:r w:rsidR="006426BE">
        <w:t>reduce</w:t>
      </w:r>
      <w:r>
        <w:t xml:space="preserve"> as </w:t>
      </w:r>
      <w:r w:rsidR="00252279">
        <w:t xml:space="preserve">transmit </w:t>
      </w:r>
      <w:r>
        <w:t xml:space="preserve">power drops a </w:t>
      </w:r>
      <w:r w:rsidR="00252279">
        <w:t>lot</w:t>
      </w:r>
      <w:r w:rsidR="00BD6BED">
        <w:t>; however a similar thing can happen in LTE, if the RB allocation size increases beyond the threshold</w:t>
      </w:r>
      <w:r>
        <w:t>.</w:t>
      </w:r>
      <w:r w:rsidR="00BD6BED" w:rsidDel="00BD6BED">
        <w:t xml:space="preserve"> </w:t>
      </w:r>
    </w:p>
    <w:p w14:paraId="106E14E7" w14:textId="21D26EDC" w:rsidR="00CD2B91" w:rsidRDefault="006426BE" w:rsidP="00F275C3">
      <w:r>
        <w:t xml:space="preserve">We believe that the </w:t>
      </w:r>
      <w:r w:rsidR="00E04721">
        <w:t xml:space="preserve">MPR </w:t>
      </w:r>
      <w:r>
        <w:t>zones</w:t>
      </w:r>
      <w:r w:rsidR="00E04721">
        <w:t xml:space="preserve"> can be </w:t>
      </w:r>
      <w:r w:rsidR="007C01CD">
        <w:t xml:space="preserve">efficiently </w:t>
      </w:r>
      <w:r w:rsidR="00E04721">
        <w:t>taken into account in the SINR/MCS evaluation</w:t>
      </w:r>
      <w:r>
        <w:t>,</w:t>
      </w:r>
      <w:r w:rsidR="00E04721">
        <w:t xml:space="preserve"> and </w:t>
      </w:r>
      <w:r>
        <w:t>the normal scheduler framework can be used</w:t>
      </w:r>
      <w:r w:rsidR="007C01CD">
        <w:t xml:space="preserve"> without significant changes</w:t>
      </w:r>
      <w:r>
        <w:t xml:space="preserve">. </w:t>
      </w:r>
      <w:r w:rsidR="00BD6BED">
        <w:t xml:space="preserve">While the MPR rule is more complicated, the basic PHR methodology does not change. </w:t>
      </w:r>
      <w:r>
        <w:t>T</w:t>
      </w:r>
      <w:r w:rsidR="00E04721">
        <w:t xml:space="preserve">he UL allocation </w:t>
      </w:r>
      <w:r w:rsidR="007C01CD">
        <w:t>must</w:t>
      </w:r>
      <w:r>
        <w:t xml:space="preserve"> be remembered </w:t>
      </w:r>
      <w:r w:rsidR="00E04721">
        <w:t>for correct interpretation of the PHR</w:t>
      </w:r>
      <w:r>
        <w:t>.</w:t>
      </w:r>
      <w:r w:rsidR="007C01CD">
        <w:t xml:space="preserve"> It can also be noted that certain A-MPR cases in LTE require scheduler changes. Many of the A-MPR tables have more complex table format than the NR proposal (see e.g. 36.101 Tables 6.2.4-2 to 6.2.4-26).</w:t>
      </w:r>
    </w:p>
    <w:bookmarkEnd w:id="1"/>
    <w:p w14:paraId="07898F0E" w14:textId="77777777" w:rsidR="0043450E" w:rsidRDefault="0043450E" w:rsidP="0043450E">
      <w:pPr>
        <w:pStyle w:val="Heading1"/>
      </w:pPr>
      <w:r>
        <w:t>3</w:t>
      </w:r>
      <w:r>
        <w:tab/>
        <w:t>Conclusion</w:t>
      </w:r>
    </w:p>
    <w:p w14:paraId="4341AE1A" w14:textId="55AF01C6" w:rsidR="0043450E" w:rsidRDefault="005B25EC" w:rsidP="0043450E">
      <w:r>
        <w:t>In this contribution we have</w:t>
      </w:r>
      <w:r w:rsidR="007C01CD">
        <w:t xml:space="preserve"> discussed how the “inner” and “outer” zones in the NR MPR table can affect the base station scheduler.</w:t>
      </w:r>
    </w:p>
    <w:p w14:paraId="48B5281E" w14:textId="20A70600" w:rsidR="004C0103" w:rsidRDefault="00252279">
      <w:r>
        <w:t>We believe that the MPR zones can be efficiently taken into account in the SINR/MCS evaluation, and the normal scheduler framework can be used without significant changes.</w:t>
      </w:r>
    </w:p>
    <w:p w14:paraId="7010F022" w14:textId="08FFE3B4" w:rsidR="001C7145" w:rsidRDefault="001C7145" w:rsidP="001C7145">
      <w:pPr>
        <w:pStyle w:val="Heading1"/>
      </w:pPr>
      <w:r>
        <w:t>References</w:t>
      </w:r>
    </w:p>
    <w:p w14:paraId="68D0D951" w14:textId="1760CA6B" w:rsidR="004C0103" w:rsidRDefault="001C7145">
      <w:r>
        <w:t>[1]</w:t>
      </w:r>
      <w:r>
        <w:tab/>
      </w:r>
      <w:r>
        <w:tab/>
        <w:t xml:space="preserve">R4-1709944, </w:t>
      </w:r>
      <w:r w:rsidRPr="001C7145">
        <w:rPr>
          <w:lang w:val="en-CA"/>
        </w:rPr>
        <w:t>WF on MPR table and allocation definition for sub-6GHz</w:t>
      </w:r>
      <w:r>
        <w:rPr>
          <w:lang w:val="en-CA"/>
        </w:rPr>
        <w:t>, Skyworks Solutions</w:t>
      </w:r>
    </w:p>
    <w:p w14:paraId="2F2DF123" w14:textId="77777777" w:rsidR="004C0103" w:rsidRDefault="004C0103"/>
    <w:sectPr w:rsidR="004C010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BCCE7" w14:textId="77777777" w:rsidR="000D6EB2" w:rsidRDefault="000D6EB2" w:rsidP="002B3503">
      <w:pPr>
        <w:spacing w:after="0"/>
      </w:pPr>
      <w:r>
        <w:separator/>
      </w:r>
    </w:p>
  </w:endnote>
  <w:endnote w:type="continuationSeparator" w:id="0">
    <w:p w14:paraId="0FCE567A" w14:textId="77777777" w:rsidR="000D6EB2" w:rsidRDefault="000D6EB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3B23B" w14:textId="77777777" w:rsidR="000D6EB2" w:rsidRDefault="000D6EB2" w:rsidP="002B3503">
      <w:pPr>
        <w:spacing w:after="0"/>
      </w:pPr>
      <w:r>
        <w:separator/>
      </w:r>
    </w:p>
  </w:footnote>
  <w:footnote w:type="continuationSeparator" w:id="0">
    <w:p w14:paraId="367A402C" w14:textId="77777777" w:rsidR="000D6EB2" w:rsidRDefault="000D6EB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F275C3" w:rsidRDefault="00F275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C772E"/>
    <w:multiLevelType w:val="hybridMultilevel"/>
    <w:tmpl w:val="92F2D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0D6EB2"/>
    <w:rsid w:val="000F4800"/>
    <w:rsid w:val="00102CC3"/>
    <w:rsid w:val="00127FD3"/>
    <w:rsid w:val="00171EAB"/>
    <w:rsid w:val="001A310A"/>
    <w:rsid w:val="001C7145"/>
    <w:rsid w:val="001D5579"/>
    <w:rsid w:val="00214C87"/>
    <w:rsid w:val="00252279"/>
    <w:rsid w:val="00291DDD"/>
    <w:rsid w:val="002A66AC"/>
    <w:rsid w:val="002A7181"/>
    <w:rsid w:val="002B3503"/>
    <w:rsid w:val="002B517D"/>
    <w:rsid w:val="002E6CBD"/>
    <w:rsid w:val="0031785F"/>
    <w:rsid w:val="00327DE5"/>
    <w:rsid w:val="00372EEC"/>
    <w:rsid w:val="0039501C"/>
    <w:rsid w:val="003E2615"/>
    <w:rsid w:val="00403695"/>
    <w:rsid w:val="0043450E"/>
    <w:rsid w:val="00456213"/>
    <w:rsid w:val="00456EB2"/>
    <w:rsid w:val="00457EE7"/>
    <w:rsid w:val="004C0103"/>
    <w:rsid w:val="004D3D81"/>
    <w:rsid w:val="0054323C"/>
    <w:rsid w:val="00550233"/>
    <w:rsid w:val="00555F7A"/>
    <w:rsid w:val="005973A6"/>
    <w:rsid w:val="005B25EC"/>
    <w:rsid w:val="00623B61"/>
    <w:rsid w:val="00641C2E"/>
    <w:rsid w:val="006426BE"/>
    <w:rsid w:val="006C6840"/>
    <w:rsid w:val="00711747"/>
    <w:rsid w:val="007558D8"/>
    <w:rsid w:val="007612F8"/>
    <w:rsid w:val="007C01CD"/>
    <w:rsid w:val="00812D66"/>
    <w:rsid w:val="00817E8B"/>
    <w:rsid w:val="008A4493"/>
    <w:rsid w:val="0091622E"/>
    <w:rsid w:val="00940559"/>
    <w:rsid w:val="009509D3"/>
    <w:rsid w:val="00961ACE"/>
    <w:rsid w:val="00A142D2"/>
    <w:rsid w:val="00A404AF"/>
    <w:rsid w:val="00A451E8"/>
    <w:rsid w:val="00A75B54"/>
    <w:rsid w:val="00A77D6D"/>
    <w:rsid w:val="00A8029E"/>
    <w:rsid w:val="00AA0DFE"/>
    <w:rsid w:val="00AB7992"/>
    <w:rsid w:val="00AB7CAB"/>
    <w:rsid w:val="00AC2197"/>
    <w:rsid w:val="00B65B59"/>
    <w:rsid w:val="00B82DBB"/>
    <w:rsid w:val="00BB06A2"/>
    <w:rsid w:val="00BC764C"/>
    <w:rsid w:val="00BD6BED"/>
    <w:rsid w:val="00C0323D"/>
    <w:rsid w:val="00C16AFB"/>
    <w:rsid w:val="00C46A3B"/>
    <w:rsid w:val="00CD2B91"/>
    <w:rsid w:val="00DA11A8"/>
    <w:rsid w:val="00E04721"/>
    <w:rsid w:val="00E24DF4"/>
    <w:rsid w:val="00E33B68"/>
    <w:rsid w:val="00F275C3"/>
    <w:rsid w:val="00F42180"/>
    <w:rsid w:val="00F6171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D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27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27DE5"/>
    <w:pPr>
      <w:pBdr>
        <w:top w:val="none" w:sz="0" w:space="0" w:color="auto"/>
      </w:pBdr>
      <w:spacing w:before="180"/>
      <w:outlineLvl w:val="1"/>
    </w:pPr>
    <w:rPr>
      <w:sz w:val="32"/>
    </w:rPr>
  </w:style>
  <w:style w:type="paragraph" w:styleId="Heading3">
    <w:name w:val="heading 3"/>
    <w:basedOn w:val="Heading2"/>
    <w:next w:val="Normal"/>
    <w:qFormat/>
    <w:rsid w:val="00327DE5"/>
    <w:pPr>
      <w:spacing w:before="120"/>
      <w:outlineLvl w:val="2"/>
    </w:pPr>
    <w:rPr>
      <w:sz w:val="28"/>
    </w:rPr>
  </w:style>
  <w:style w:type="paragraph" w:styleId="Heading4">
    <w:name w:val="heading 4"/>
    <w:basedOn w:val="Heading3"/>
    <w:next w:val="Normal"/>
    <w:qFormat/>
    <w:rsid w:val="00327DE5"/>
    <w:pPr>
      <w:ind w:left="1418" w:hanging="1418"/>
      <w:outlineLvl w:val="3"/>
    </w:pPr>
    <w:rPr>
      <w:sz w:val="24"/>
    </w:rPr>
  </w:style>
  <w:style w:type="paragraph" w:styleId="Heading5">
    <w:name w:val="heading 5"/>
    <w:basedOn w:val="Heading4"/>
    <w:next w:val="Normal"/>
    <w:qFormat/>
    <w:rsid w:val="00327DE5"/>
    <w:pPr>
      <w:ind w:left="1701" w:hanging="1701"/>
      <w:outlineLvl w:val="4"/>
    </w:pPr>
    <w:rPr>
      <w:sz w:val="22"/>
    </w:rPr>
  </w:style>
  <w:style w:type="paragraph" w:styleId="Heading6">
    <w:name w:val="heading 6"/>
    <w:basedOn w:val="H6"/>
    <w:next w:val="Normal"/>
    <w:qFormat/>
    <w:rsid w:val="00327DE5"/>
    <w:pPr>
      <w:outlineLvl w:val="5"/>
    </w:pPr>
  </w:style>
  <w:style w:type="paragraph" w:styleId="Heading7">
    <w:name w:val="heading 7"/>
    <w:basedOn w:val="H6"/>
    <w:next w:val="Normal"/>
    <w:qFormat/>
    <w:rsid w:val="00327DE5"/>
    <w:pPr>
      <w:outlineLvl w:val="6"/>
    </w:pPr>
  </w:style>
  <w:style w:type="paragraph" w:styleId="Heading8">
    <w:name w:val="heading 8"/>
    <w:basedOn w:val="Heading1"/>
    <w:next w:val="Normal"/>
    <w:qFormat/>
    <w:rsid w:val="00327DE5"/>
    <w:pPr>
      <w:ind w:left="0" w:firstLine="0"/>
      <w:outlineLvl w:val="7"/>
    </w:pPr>
  </w:style>
  <w:style w:type="paragraph" w:styleId="Heading9">
    <w:name w:val="heading 9"/>
    <w:basedOn w:val="Heading8"/>
    <w:next w:val="Normal"/>
    <w:qFormat/>
    <w:rsid w:val="00327DE5"/>
    <w:pPr>
      <w:outlineLvl w:val="8"/>
    </w:pPr>
  </w:style>
  <w:style w:type="character" w:default="1" w:styleId="DefaultParagraphFont">
    <w:name w:val="Default Paragraph Font"/>
    <w:semiHidden/>
    <w:rsid w:val="00327D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DE5"/>
  </w:style>
  <w:style w:type="paragraph" w:styleId="TOC8">
    <w:name w:val="toc 8"/>
    <w:basedOn w:val="TOC1"/>
    <w:semiHidden/>
    <w:rsid w:val="00327DE5"/>
    <w:pPr>
      <w:spacing w:before="180"/>
      <w:ind w:left="2693" w:hanging="2693"/>
    </w:pPr>
    <w:rPr>
      <w:b/>
    </w:rPr>
  </w:style>
  <w:style w:type="paragraph" w:styleId="TOC1">
    <w:name w:val="toc 1"/>
    <w:semiHidden/>
    <w:rsid w:val="00327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27D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27DE5"/>
    <w:pPr>
      <w:ind w:left="1701" w:hanging="1701"/>
    </w:pPr>
  </w:style>
  <w:style w:type="paragraph" w:styleId="TOC4">
    <w:name w:val="toc 4"/>
    <w:basedOn w:val="TOC3"/>
    <w:semiHidden/>
    <w:rsid w:val="00327DE5"/>
    <w:pPr>
      <w:ind w:left="1418" w:hanging="1418"/>
    </w:pPr>
  </w:style>
  <w:style w:type="paragraph" w:styleId="TOC3">
    <w:name w:val="toc 3"/>
    <w:basedOn w:val="TOC2"/>
    <w:semiHidden/>
    <w:rsid w:val="00327DE5"/>
    <w:pPr>
      <w:ind w:left="1134" w:hanging="1134"/>
    </w:pPr>
  </w:style>
  <w:style w:type="paragraph" w:styleId="TOC2">
    <w:name w:val="toc 2"/>
    <w:basedOn w:val="TOC1"/>
    <w:semiHidden/>
    <w:rsid w:val="00327DE5"/>
    <w:pPr>
      <w:keepNext w:val="0"/>
      <w:spacing w:before="0"/>
      <w:ind w:left="851" w:hanging="851"/>
    </w:pPr>
    <w:rPr>
      <w:sz w:val="20"/>
    </w:rPr>
  </w:style>
  <w:style w:type="paragraph" w:styleId="Index2">
    <w:name w:val="index 2"/>
    <w:basedOn w:val="Index1"/>
    <w:semiHidden/>
    <w:rsid w:val="00327DE5"/>
    <w:pPr>
      <w:ind w:left="284"/>
    </w:pPr>
  </w:style>
  <w:style w:type="paragraph" w:styleId="Index1">
    <w:name w:val="index 1"/>
    <w:basedOn w:val="Normal"/>
    <w:semiHidden/>
    <w:rsid w:val="00327DE5"/>
    <w:pPr>
      <w:keepLines/>
      <w:spacing w:after="0"/>
    </w:pPr>
  </w:style>
  <w:style w:type="paragraph" w:customStyle="1" w:styleId="ZH">
    <w:name w:val="ZH"/>
    <w:rsid w:val="00327D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27DE5"/>
    <w:pPr>
      <w:outlineLvl w:val="9"/>
    </w:pPr>
  </w:style>
  <w:style w:type="paragraph" w:styleId="ListNumber2">
    <w:name w:val="List Number 2"/>
    <w:basedOn w:val="ListNumber"/>
    <w:semiHidden/>
    <w:rsid w:val="00327DE5"/>
    <w:pPr>
      <w:ind w:left="851"/>
    </w:pPr>
  </w:style>
  <w:style w:type="paragraph" w:styleId="Header">
    <w:name w:val="header"/>
    <w:semiHidden/>
    <w:rsid w:val="00327D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27DE5"/>
    <w:rPr>
      <w:b/>
      <w:position w:val="6"/>
      <w:sz w:val="16"/>
    </w:rPr>
  </w:style>
  <w:style w:type="paragraph" w:styleId="FootnoteText">
    <w:name w:val="footnote text"/>
    <w:basedOn w:val="Normal"/>
    <w:semiHidden/>
    <w:rsid w:val="00327DE5"/>
    <w:pPr>
      <w:keepLines/>
      <w:spacing w:after="0"/>
      <w:ind w:left="454" w:hanging="454"/>
    </w:pPr>
    <w:rPr>
      <w:sz w:val="16"/>
    </w:rPr>
  </w:style>
  <w:style w:type="paragraph" w:customStyle="1" w:styleId="TAH">
    <w:name w:val="TAH"/>
    <w:basedOn w:val="TAC"/>
    <w:link w:val="TAHCar"/>
    <w:rsid w:val="00327DE5"/>
    <w:rPr>
      <w:b/>
    </w:rPr>
  </w:style>
  <w:style w:type="paragraph" w:customStyle="1" w:styleId="TAC">
    <w:name w:val="TAC"/>
    <w:basedOn w:val="TAL"/>
    <w:link w:val="TACChar"/>
    <w:rsid w:val="00327DE5"/>
    <w:pPr>
      <w:jc w:val="center"/>
    </w:pPr>
  </w:style>
  <w:style w:type="paragraph" w:customStyle="1" w:styleId="TF">
    <w:name w:val="TF"/>
    <w:basedOn w:val="TH"/>
    <w:rsid w:val="00327DE5"/>
    <w:pPr>
      <w:keepNext w:val="0"/>
      <w:spacing w:before="0" w:after="240"/>
    </w:pPr>
  </w:style>
  <w:style w:type="paragraph" w:customStyle="1" w:styleId="NO">
    <w:name w:val="NO"/>
    <w:basedOn w:val="Normal"/>
    <w:rsid w:val="00327DE5"/>
    <w:pPr>
      <w:keepLines/>
      <w:ind w:left="1135" w:hanging="851"/>
    </w:pPr>
  </w:style>
  <w:style w:type="paragraph" w:styleId="TOC9">
    <w:name w:val="toc 9"/>
    <w:basedOn w:val="TOC8"/>
    <w:semiHidden/>
    <w:rsid w:val="00327DE5"/>
    <w:pPr>
      <w:ind w:left="1418" w:hanging="1418"/>
    </w:pPr>
  </w:style>
  <w:style w:type="paragraph" w:customStyle="1" w:styleId="EX">
    <w:name w:val="EX"/>
    <w:basedOn w:val="Normal"/>
    <w:rsid w:val="00327DE5"/>
    <w:pPr>
      <w:keepLines/>
      <w:ind w:left="1702" w:hanging="1418"/>
    </w:pPr>
  </w:style>
  <w:style w:type="paragraph" w:customStyle="1" w:styleId="FP">
    <w:name w:val="FP"/>
    <w:basedOn w:val="Normal"/>
    <w:rsid w:val="00327DE5"/>
    <w:pPr>
      <w:spacing w:after="0"/>
    </w:pPr>
  </w:style>
  <w:style w:type="paragraph" w:customStyle="1" w:styleId="LD">
    <w:name w:val="LD"/>
    <w:rsid w:val="00327D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27DE5"/>
    <w:pPr>
      <w:spacing w:after="0"/>
    </w:pPr>
  </w:style>
  <w:style w:type="paragraph" w:customStyle="1" w:styleId="EW">
    <w:name w:val="EW"/>
    <w:basedOn w:val="EX"/>
    <w:rsid w:val="00327DE5"/>
    <w:pPr>
      <w:spacing w:after="0"/>
    </w:pPr>
  </w:style>
  <w:style w:type="paragraph" w:styleId="TOC6">
    <w:name w:val="toc 6"/>
    <w:basedOn w:val="TOC5"/>
    <w:next w:val="Normal"/>
    <w:semiHidden/>
    <w:rsid w:val="00327DE5"/>
    <w:pPr>
      <w:ind w:left="1985" w:hanging="1985"/>
    </w:pPr>
  </w:style>
  <w:style w:type="paragraph" w:styleId="TOC7">
    <w:name w:val="toc 7"/>
    <w:basedOn w:val="TOC6"/>
    <w:next w:val="Normal"/>
    <w:semiHidden/>
    <w:rsid w:val="00327DE5"/>
    <w:pPr>
      <w:ind w:left="2268" w:hanging="2268"/>
    </w:pPr>
  </w:style>
  <w:style w:type="paragraph" w:styleId="ListBullet2">
    <w:name w:val="List Bullet 2"/>
    <w:basedOn w:val="ListBullet"/>
    <w:semiHidden/>
    <w:rsid w:val="00327DE5"/>
    <w:pPr>
      <w:ind w:left="851"/>
    </w:pPr>
  </w:style>
  <w:style w:type="paragraph" w:styleId="ListBullet3">
    <w:name w:val="List Bullet 3"/>
    <w:basedOn w:val="ListBullet2"/>
    <w:semiHidden/>
    <w:rsid w:val="00327DE5"/>
    <w:pPr>
      <w:ind w:left="1135"/>
    </w:pPr>
  </w:style>
  <w:style w:type="paragraph" w:styleId="ListNumber">
    <w:name w:val="List Number"/>
    <w:basedOn w:val="List"/>
    <w:semiHidden/>
    <w:rsid w:val="00327DE5"/>
  </w:style>
  <w:style w:type="paragraph" w:customStyle="1" w:styleId="EQ">
    <w:name w:val="EQ"/>
    <w:basedOn w:val="Normal"/>
    <w:next w:val="Normal"/>
    <w:rsid w:val="00327DE5"/>
    <w:pPr>
      <w:keepLines/>
      <w:tabs>
        <w:tab w:val="center" w:pos="4536"/>
        <w:tab w:val="right" w:pos="9072"/>
      </w:tabs>
    </w:pPr>
    <w:rPr>
      <w:noProof/>
    </w:rPr>
  </w:style>
  <w:style w:type="paragraph" w:customStyle="1" w:styleId="TH">
    <w:name w:val="TH"/>
    <w:basedOn w:val="Normal"/>
    <w:link w:val="THChar"/>
    <w:rsid w:val="00327DE5"/>
    <w:pPr>
      <w:keepNext/>
      <w:keepLines/>
      <w:spacing w:before="60"/>
      <w:jc w:val="center"/>
    </w:pPr>
    <w:rPr>
      <w:rFonts w:ascii="Arial" w:hAnsi="Arial"/>
      <w:b/>
    </w:rPr>
  </w:style>
  <w:style w:type="paragraph" w:customStyle="1" w:styleId="NF">
    <w:name w:val="NF"/>
    <w:basedOn w:val="NO"/>
    <w:rsid w:val="00327DE5"/>
    <w:pPr>
      <w:keepNext/>
      <w:spacing w:after="0"/>
    </w:pPr>
    <w:rPr>
      <w:rFonts w:ascii="Arial" w:hAnsi="Arial"/>
      <w:sz w:val="18"/>
    </w:rPr>
  </w:style>
  <w:style w:type="paragraph" w:customStyle="1" w:styleId="PL">
    <w:name w:val="PL"/>
    <w:rsid w:val="00327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27DE5"/>
    <w:pPr>
      <w:jc w:val="right"/>
    </w:pPr>
  </w:style>
  <w:style w:type="paragraph" w:customStyle="1" w:styleId="H6">
    <w:name w:val="H6"/>
    <w:basedOn w:val="Heading5"/>
    <w:next w:val="Normal"/>
    <w:rsid w:val="00327DE5"/>
    <w:pPr>
      <w:ind w:left="1985" w:hanging="1985"/>
      <w:outlineLvl w:val="9"/>
    </w:pPr>
    <w:rPr>
      <w:sz w:val="20"/>
    </w:rPr>
  </w:style>
  <w:style w:type="paragraph" w:customStyle="1" w:styleId="TAN">
    <w:name w:val="TAN"/>
    <w:basedOn w:val="TAL"/>
    <w:rsid w:val="00327DE5"/>
    <w:pPr>
      <w:ind w:left="851" w:hanging="851"/>
    </w:pPr>
  </w:style>
  <w:style w:type="paragraph" w:customStyle="1" w:styleId="TAL">
    <w:name w:val="TAL"/>
    <w:basedOn w:val="Normal"/>
    <w:rsid w:val="00327DE5"/>
    <w:pPr>
      <w:keepNext/>
      <w:keepLines/>
      <w:spacing w:after="0"/>
    </w:pPr>
    <w:rPr>
      <w:rFonts w:ascii="Arial" w:hAnsi="Arial"/>
      <w:sz w:val="18"/>
    </w:rPr>
  </w:style>
  <w:style w:type="paragraph" w:customStyle="1" w:styleId="ZA">
    <w:name w:val="ZA"/>
    <w:rsid w:val="00327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27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27D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27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27DE5"/>
    <w:pPr>
      <w:framePr w:wrap="notBeside" w:y="16161"/>
    </w:pPr>
  </w:style>
  <w:style w:type="character" w:customStyle="1" w:styleId="ZGSM">
    <w:name w:val="ZGSM"/>
    <w:rsid w:val="00327DE5"/>
  </w:style>
  <w:style w:type="paragraph" w:styleId="List2">
    <w:name w:val="List 2"/>
    <w:basedOn w:val="List"/>
    <w:semiHidden/>
    <w:rsid w:val="00327DE5"/>
    <w:pPr>
      <w:ind w:left="851"/>
    </w:pPr>
  </w:style>
  <w:style w:type="paragraph" w:customStyle="1" w:styleId="ZG">
    <w:name w:val="ZG"/>
    <w:rsid w:val="00327D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327DE5"/>
    <w:pPr>
      <w:ind w:left="1135"/>
    </w:pPr>
  </w:style>
  <w:style w:type="paragraph" w:styleId="List4">
    <w:name w:val="List 4"/>
    <w:basedOn w:val="List3"/>
    <w:semiHidden/>
    <w:rsid w:val="00327DE5"/>
    <w:pPr>
      <w:ind w:left="1418"/>
    </w:pPr>
  </w:style>
  <w:style w:type="paragraph" w:styleId="List5">
    <w:name w:val="List 5"/>
    <w:basedOn w:val="List4"/>
    <w:semiHidden/>
    <w:rsid w:val="00327DE5"/>
    <w:pPr>
      <w:ind w:left="1702"/>
    </w:pPr>
  </w:style>
  <w:style w:type="paragraph" w:customStyle="1" w:styleId="EditorsNote">
    <w:name w:val="Editor's Note"/>
    <w:basedOn w:val="NO"/>
    <w:rsid w:val="00327DE5"/>
    <w:rPr>
      <w:color w:val="FF0000"/>
    </w:rPr>
  </w:style>
  <w:style w:type="paragraph" w:styleId="List">
    <w:name w:val="List"/>
    <w:basedOn w:val="Normal"/>
    <w:semiHidden/>
    <w:rsid w:val="00327DE5"/>
    <w:pPr>
      <w:ind w:left="568" w:hanging="284"/>
    </w:pPr>
  </w:style>
  <w:style w:type="paragraph" w:styleId="ListBullet">
    <w:name w:val="List Bullet"/>
    <w:basedOn w:val="List"/>
    <w:semiHidden/>
    <w:rsid w:val="00327DE5"/>
  </w:style>
  <w:style w:type="paragraph" w:styleId="ListBullet4">
    <w:name w:val="List Bullet 4"/>
    <w:basedOn w:val="ListBullet3"/>
    <w:semiHidden/>
    <w:rsid w:val="00327DE5"/>
    <w:pPr>
      <w:ind w:left="1418"/>
    </w:pPr>
  </w:style>
  <w:style w:type="paragraph" w:styleId="ListBullet5">
    <w:name w:val="List Bullet 5"/>
    <w:basedOn w:val="ListBullet4"/>
    <w:semiHidden/>
    <w:rsid w:val="00327DE5"/>
    <w:pPr>
      <w:ind w:left="1702"/>
    </w:pPr>
  </w:style>
  <w:style w:type="paragraph" w:customStyle="1" w:styleId="B1">
    <w:name w:val="B1"/>
    <w:basedOn w:val="List"/>
    <w:rsid w:val="00327DE5"/>
  </w:style>
  <w:style w:type="paragraph" w:customStyle="1" w:styleId="B2">
    <w:name w:val="B2"/>
    <w:basedOn w:val="List2"/>
    <w:rsid w:val="00327DE5"/>
  </w:style>
  <w:style w:type="paragraph" w:customStyle="1" w:styleId="B3">
    <w:name w:val="B3"/>
    <w:basedOn w:val="List3"/>
    <w:rsid w:val="00327DE5"/>
  </w:style>
  <w:style w:type="paragraph" w:customStyle="1" w:styleId="B4">
    <w:name w:val="B4"/>
    <w:basedOn w:val="List4"/>
    <w:rsid w:val="00327DE5"/>
  </w:style>
  <w:style w:type="paragraph" w:customStyle="1" w:styleId="B5">
    <w:name w:val="B5"/>
    <w:basedOn w:val="List5"/>
    <w:rsid w:val="00327DE5"/>
  </w:style>
  <w:style w:type="paragraph" w:styleId="Footer">
    <w:name w:val="footer"/>
    <w:basedOn w:val="Header"/>
    <w:semiHidden/>
    <w:rsid w:val="00327DE5"/>
    <w:pPr>
      <w:jc w:val="center"/>
    </w:pPr>
    <w:rPr>
      <w:i/>
    </w:rPr>
  </w:style>
  <w:style w:type="paragraph" w:customStyle="1" w:styleId="ZTD">
    <w:name w:val="ZTD"/>
    <w:basedOn w:val="ZB"/>
    <w:rsid w:val="00327DE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paragraph" w:styleId="ListParagraph">
    <w:name w:val="List Paragraph"/>
    <w:basedOn w:val="Normal"/>
    <w:uiPriority w:val="34"/>
    <w:qFormat/>
    <w:rsid w:val="000F4800"/>
    <w:pPr>
      <w:ind w:left="720"/>
      <w:contextualSpacing/>
    </w:pPr>
  </w:style>
  <w:style w:type="character" w:customStyle="1" w:styleId="font231">
    <w:name w:val="font231"/>
    <w:basedOn w:val="DefaultParagraphFont"/>
    <w:rsid w:val="00C46A3B"/>
    <w:rPr>
      <w:rFonts w:ascii="Arial" w:hAnsi="Arial" w:cs="Arial" w:hint="default"/>
      <w:b w:val="0"/>
      <w:bCs w:val="0"/>
      <w:i w:val="0"/>
      <w:iCs w:val="0"/>
      <w:strike w:val="0"/>
      <w:dstrike w:val="0"/>
      <w:color w:val="000000"/>
      <w:sz w:val="18"/>
      <w:szCs w:val="18"/>
      <w:u w:val="none"/>
      <w:effect w:val="none"/>
    </w:rPr>
  </w:style>
  <w:style w:type="character" w:customStyle="1" w:styleId="THChar">
    <w:name w:val="TH Char"/>
    <w:link w:val="TH"/>
    <w:rsid w:val="007558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40579">
      <w:bodyDiv w:val="1"/>
      <w:marLeft w:val="0"/>
      <w:marRight w:val="0"/>
      <w:marTop w:val="0"/>
      <w:marBottom w:val="0"/>
      <w:divBdr>
        <w:top w:val="none" w:sz="0" w:space="0" w:color="auto"/>
        <w:left w:val="none" w:sz="0" w:space="0" w:color="auto"/>
        <w:bottom w:val="none" w:sz="0" w:space="0" w:color="auto"/>
        <w:right w:val="none" w:sz="0" w:space="0" w:color="auto"/>
      </w:divBdr>
    </w:div>
    <w:div w:id="352151516">
      <w:bodyDiv w:val="1"/>
      <w:marLeft w:val="0"/>
      <w:marRight w:val="0"/>
      <w:marTop w:val="0"/>
      <w:marBottom w:val="0"/>
      <w:divBdr>
        <w:top w:val="none" w:sz="0" w:space="0" w:color="auto"/>
        <w:left w:val="none" w:sz="0" w:space="0" w:color="auto"/>
        <w:bottom w:val="none" w:sz="0" w:space="0" w:color="auto"/>
        <w:right w:val="none" w:sz="0" w:space="0" w:color="auto"/>
      </w:divBdr>
    </w:div>
    <w:div w:id="1072118632">
      <w:bodyDiv w:val="1"/>
      <w:marLeft w:val="0"/>
      <w:marRight w:val="0"/>
      <w:marTop w:val="0"/>
      <w:marBottom w:val="0"/>
      <w:divBdr>
        <w:top w:val="none" w:sz="0" w:space="0" w:color="auto"/>
        <w:left w:val="none" w:sz="0" w:space="0" w:color="auto"/>
        <w:bottom w:val="none" w:sz="0" w:space="0" w:color="auto"/>
        <w:right w:val="none" w:sz="0" w:space="0" w:color="auto"/>
      </w:divBdr>
    </w:div>
    <w:div w:id="1176308131">
      <w:bodyDiv w:val="1"/>
      <w:marLeft w:val="0"/>
      <w:marRight w:val="0"/>
      <w:marTop w:val="0"/>
      <w:marBottom w:val="0"/>
      <w:divBdr>
        <w:top w:val="none" w:sz="0" w:space="0" w:color="auto"/>
        <w:left w:val="none" w:sz="0" w:space="0" w:color="auto"/>
        <w:bottom w:val="none" w:sz="0" w:space="0" w:color="auto"/>
        <w:right w:val="none" w:sz="0" w:space="0" w:color="auto"/>
      </w:divBdr>
    </w:div>
    <w:div w:id="1301694387">
      <w:bodyDiv w:val="1"/>
      <w:marLeft w:val="0"/>
      <w:marRight w:val="0"/>
      <w:marTop w:val="0"/>
      <w:marBottom w:val="0"/>
      <w:divBdr>
        <w:top w:val="none" w:sz="0" w:space="0" w:color="auto"/>
        <w:left w:val="none" w:sz="0" w:space="0" w:color="auto"/>
        <w:bottom w:val="none" w:sz="0" w:space="0" w:color="auto"/>
        <w:right w:val="none" w:sz="0" w:space="0" w:color="auto"/>
      </w:divBdr>
    </w:div>
    <w:div w:id="1450972769">
      <w:bodyDiv w:val="1"/>
      <w:marLeft w:val="0"/>
      <w:marRight w:val="0"/>
      <w:marTop w:val="0"/>
      <w:marBottom w:val="0"/>
      <w:divBdr>
        <w:top w:val="none" w:sz="0" w:space="0" w:color="auto"/>
        <w:left w:val="none" w:sz="0" w:space="0" w:color="auto"/>
        <w:bottom w:val="none" w:sz="0" w:space="0" w:color="auto"/>
        <w:right w:val="none" w:sz="0" w:space="0" w:color="auto"/>
      </w:divBdr>
    </w:div>
    <w:div w:id="1469085167">
      <w:bodyDiv w:val="1"/>
      <w:marLeft w:val="0"/>
      <w:marRight w:val="0"/>
      <w:marTop w:val="0"/>
      <w:marBottom w:val="0"/>
      <w:divBdr>
        <w:top w:val="none" w:sz="0" w:space="0" w:color="auto"/>
        <w:left w:val="none" w:sz="0" w:space="0" w:color="auto"/>
        <w:bottom w:val="none" w:sz="0" w:space="0" w:color="auto"/>
        <w:right w:val="none" w:sz="0" w:space="0" w:color="auto"/>
      </w:divBdr>
    </w:div>
    <w:div w:id="1552887271">
      <w:bodyDiv w:val="1"/>
      <w:marLeft w:val="0"/>
      <w:marRight w:val="0"/>
      <w:marTop w:val="0"/>
      <w:marBottom w:val="0"/>
      <w:divBdr>
        <w:top w:val="none" w:sz="0" w:space="0" w:color="auto"/>
        <w:left w:val="none" w:sz="0" w:space="0" w:color="auto"/>
        <w:bottom w:val="none" w:sz="0" w:space="0" w:color="auto"/>
        <w:right w:val="none" w:sz="0" w:space="0" w:color="auto"/>
      </w:divBdr>
    </w:div>
    <w:div w:id="17555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2017-10-02T09:51:00Z</dcterms:created>
  <dcterms:modified xsi:type="dcterms:W3CDTF">2017-10-02T13:41:00Z</dcterms:modified>
</cp:coreProperties>
</file>